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PE.2021.0061 vom 29. September 2021</w:t>
      </w:r>
    </w:p>
    <w:p>
      <w:r>
        <w:t>VD Tribunal cantonal, 2021-09-29, FR</w:t>
      </w:r>
    </w:p>
    <w:p>
      <w:r>
        <w:rPr>
          <w:b/>
        </w:rPr>
        <w:t xml:space="preserve">Quelle: </w:t>
      </w:r>
      <w:r>
        <w:t>https://mcp.opencaselaw.ch/entscheid/vd_omni_PE.2021.0061</w:t>
      </w:r>
    </w:p>
    <w:p>
      <w:r>
        <w:t>FR: VD_OMNI PE.2021.0061 du 29 septembre 2021</w:t>
      </w:r>
    </w:p>
    <w:p>
      <w:r>
        <w:t>IT: VD_OMNI PE.2021.0061 del 29 settembre 2021</w:t>
      </w:r>
    </w:p>
    <w:p>
      <w:pPr>
        <w:pStyle w:val="Heading2"/>
      </w:pPr>
      <w:r>
        <w:t>Regeste</w:t>
      </w:r>
    </w:p>
    <w:p>
      <w:r>
        <w:t>A.________/Service de la population (SPOP) | Ressortissant turc dont l'autorisation de séjour, obtenue suite à son mariage avec une ressortissante suisse, n'a pas été prolongée suite à la séparation du couple. L'union conjugale a duré moins de trois ans. Le recourant ne se trouve pas dans une situation où la poursuite de son séjour en Suisse s'imposerait pour des raisons personnelles majeures. Il ne peut davantage se prévaloir d'un cas individuel d'une extrême gravité au sens de l'art. 30 al. 1 let. b LEI. Contrairement à ce que soutient le recourant, aucun élément au dossier ne démontre que le renvoi de celui-ci dans son pays d'origine serait illicite ou pas raisonnablement exigible. La situation sanitaire liée à la pandémie de Covid-19 prévalant en Turquie n'est pas de nature à modifier ce constat. Enfin, le SPOP n'a pas violé la garantie de la vie privée découlant de l'art. 8 CEDH.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LPA-VD ainsi que 75 et 79 LPA-VD applicables par renvoi de l'art. 99 LPA-VD).</w:t>
      </w:r>
    </w:p>
    <w:p>
      <w:r>
        <w:rPr>
          <w:b/>
        </w:rPr>
        <w:t>E. 2</w:t>
      </w:r>
    </w:p>
    <w:p>
      <w:r>
        <w:t>La décision attaquée révoque l'autorisation de séjour par regroupement familial du recourant, pour le motif que la vie commune a pris fin après moins de trois ans de mariage en Suisse et que la poursuite du séjour du recourant ne s'impose pas pour des raisons personnelles majeures, et prononce son renvoi de Suisse.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turc, le recourant ne peut se prévaloir d’aucun traité qui lui conférerait un droit au séjour en Suisse (cf. arrêts PE.2020.0003 du 8 mai 2020 consid. 2; PE.2018.0361 du 31 janvier 2019 consid. 3). Sa situation s'examinera donc au regard du seul droit interne, soit la loi fédérale sur les étrangers et l'intégration du 16 décembre 2005 (LEI; RS 142.20) et l'ordonnance du 24 octobre 2007 relative à l’admission, au séjour et à l’exercice d’une activité lucrative (OASA; RS 142.201), cela sous réserve de la Convention de sauvegarde des droits de l'homme et des libertés fondamentales du 4 novembre 1950 (CEDH; RS 0.101).</w:t>
      </w:r>
    </w:p>
    <w:p>
      <w:r>
        <w:rPr>
          <w:b/>
        </w:rPr>
        <w:t>E. 3</w:t>
      </w:r>
    </w:p>
    <w:p>
      <w:r>
        <w:t>a) Aux termes de l'art. 42 al. 1 LEI,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(art. 49 LEI), lesquelles peuvent être dues, notamment, à des obligations professionnelles ou à une séparation provisoire en raison de problèmes familiaux importants (art. 76 OASA). b) En l’espèce, le divorce des époux A.____ et B.____ a été prononcé le 14 juillet 2020, il est définitif et exécutoire depuis le 15 septembre 2020. Le recourant ne peut ainsi plus se prévaloir de l'art. 42 al. 1 LEI pour justifier le maintien de son autorisation de séjour, ce qu'il ne fait d'ailleurs pas, à juste titre. Reste à examiner si, comme il le soutient, il pourrait bénéficier d'un tel droit en vertu de l'art. 50 LEI, respectivement de l’art. 30 al. 1 let. b LEI.</w:t>
      </w:r>
    </w:p>
    <w:p>
      <w:r>
        <w:rPr>
          <w:b/>
        </w:rPr>
        <w:t>E. 4</w:t>
      </w:r>
    </w:p>
    <w:p>
      <w:r>
        <w:t>a) Aux termes de l'art. 50 LEI, après dissolution de la famille, le droit du conjoint à l’octroi d’une autorisation de séjour et à la prolongation de sa durée de validité en vertu de l'art. 42 LEI (notamment) subsiste également lorsque la poursuite du séjour en Suisse s’impose pour des raisons personnelles majeures (al. 1 let. b). Les raisons personnelles majeures visées par cette disposition sont notamment données lorsque le conjoint est victime de violence conjugale, que le mariage a été conclu en violation de la libre volonté d’un des époux ou que la réintégration sociale dans le pays de provenance semble fortement compromise (al. 2). En référence à l'art. 50 al. 1 let. b LEI, l'art. 31 al. 1 OASA prévoit qu'il convient de tenir compte lors de l'appréciation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ou encore des possibilités de réintégration dans l'Etat de provenance (let. g). Quant aux critères d'intégration auxquels il est fait référence à l'art. 31 al. 1 let. a OASA, il résulte de l'art. 58a al. 1 LEI que, pour évaluer l'intégration, il convient de tenir compte du respect de la sécurité et de l'ordre publics (let. a), du respect des valeurs de la Constitution (let. b), des compétences linguistiques (let. c) ainsi que de la participation à la vie économique ou de l'acquisition d'une formation (let. d). b) L'art. 50 al. 1 let. b LEI vise à régler les situations qui échappent aux dispositions de l'art. 50 al. 1 let. a LEI mais dans lesquelles, eu égard à l'ensemble des circonstances, l'étranger se trouve dans un cas de rigueur après la dissolution de la famille (ATF 138 II 393 consid. 3.1; 137 II 345 consid. 3.2.1).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137 II 345 consid. 3.2.3; TF 2C_110/2020 du 9 juin 2020 consid. 4.1). Tel est notamment le cas, en vertu de l’art. 50 al. 2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3.2.3; TF 2C_436/2021 du 22 juin 2021 consid. 5.3).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2C_737/2020 du 23 novembre 2020 consid. 4.2 et la référence).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c) En l’espèce, le recourant ne conteste pas que la vie commune avec son ex-épouse après le mariage en Suisse a duré moins de trois ans, puisque le couple s’est marié le 14 novembre 2016 et s’est séparé en août-septembre 2019. Il fait en revanche valoir qu’ils ont fait ménage commun en Suisse dès la fin de l’année 2015, avant d’officialiser leur union par leur mariage. Ainsi, le recourant et son ex-épouse auraient cohabité ensemble pendant presque un an comme concubins, puis pendant 34 mois comme époux, soit pendant plus de trois ans au total. Les déclarations du recourant sur l'histoire du couple concordent certes avec celles de son ex-épouse. Toutefois, la jurisprudence développée par le Tribunal fédéral concernant l’exigence d’une vie conjugale ayant duré au moins trois ans, et la manière de calculer cette durée, est parfaitement claire sur ce point et n'a pas varié, en particulier sur le principe selon lequel seules les années de mariage, et non de concubinage, sont pertinentes (ATF 140 II 345 consid. 4.1 ; ATF 140 II 289 consid. 3). Il n’y a aucune raison de s’en écarter, et il n'y a en particulier pas lieu de prendre en compte, même exceptionnellement, une période de concubinage en raison d'une prétendue parfaite intégration du recourant en Suisse ou du respect de sa vie privée au sens de l'art. 8 CEDH. Il s’ensuit que le recourant ne peut pas se prévaloir de l'art. 50 al. 1 let. a LEI, comme l'a à juste titre retenu l'autorité intimée. Les deux conditions de l'art. 50 al. 1 let. a LEI étant cumulatives (ATF 140 II 345 consid. 4 p. 347 s.; TF 2C_808/2019 du 26 septembre 2019 consid. 3; 2C_525/2019 du 16 septembre 2019 consid. 5.1), il n'y a pas lieu d'examiner si, comme le prétend le recourant, ce dernier remplit la condition relative à l'intégration. d) Le recourant ne se trouve pas davantage dans une situation où la poursuite de son séjour en Suisse s'imposerait pour des raisons personnelles majeures au sens de l'art. 50 al. 1 let. b LEI. En l’occurrence, il n’est pas allégué que le recourant ait été victime de violences conjugales. Il est venu en Suisse, en janvier 2012, pour y suivre des cours de français. Les autorisations qui lui ont été délivrées jusqu’au 30 juin 2015 l’ont été pour études. Puis, il a séjourné illégalement en Suisse jusqu’au 29 août 2016, date à laquelle il s’est vu octroyer une tolérance de séjour en vue de son mariage avec B._______. La durée de son séjour en Suisse, de huit ans lorsque la décision litigieuse a été rendue (l’année passée dans l'illégalité entre le 30 juin 2015 et le 29 août 2016 n'ayant pas à être prise en compte dans l'examen d'un cas de rigueur; cf. ATF 137 II 1 consid. 4.3 p. 8; PE.2018.0430 du 27 mars 2019 consid. 5d), même si elle n’est pas négligeable ne permet toutefois pas de conclure à un enracinement particulier et justifier, à elle seule, des raisons personnelles majeures. Né en Turquie, le recourant y a vécu son enfance et le début de sa vie d’adulte. Il ne fait pas valoir qu’il aurait perdu tous ses contacts avec son pays d’origine. On peut donc présumer qu’il y a conservé des attaches culturelles, sociales et familiales et qu’il pourra compter sur le soutien de ses proches en cas de renvoi dans son pays d’origine. Sans nier les inconvénients qu'un retour en Turquie pourrait engendrer pour le recourant, sa réintégration dans son pays d'origine n'apparaît pas fortement compromise au sens de l'art. 50 al. 2 LEI, cela d'autant moins qu'il est jeune, n’a pas d’enfant et qu'il semble être en bonne santé. Il ne devrait ainsi pas rencontrer plus de difficultés que ses compatriotes pour y trouver du travail . Il ne ressort en outre pas du dossier qu'il aurait tissé avec la Suisse des liens si étroits qu'ils feraient obstacle à son retour en Turquie. A cet égard, les relations de travail, d'amitié ou de voisinage que le requérant a pu nouer pendant son séjour ne constituent pas des liens si étroits avec la Suisse qu'ils justifieraient une exemption des mesures de limitations du nombre des étrangers (ATF 130 II 39 consid. 3; PE.2018.0229 du 5 septembre 2019 consid. 4a). Quant à son intégration en Suisse, elle ne sort pas de l'ordinaire. Le recourant n’a pas acquis en Suisse de formation ou autres compétences professionnelles particulières – il est employé en qualité de collaborateur de vente au sein de l’épicerie fine tenue par sa sœur – dont il ne pourrait pas faire usage dans son pays d’origine. Il se prévaut certes de son bon niveau de français et du fait qu’il dispose d’un réseau socio-professionnel. Il paraît cependant normal qu'une personne ayant effectué un séjour prolongé dans un pays tiers maîtrise au moins l'une des langues nationales, s'y soit créé des attaches et se soit familiarisée avec le mode de vie de ce pays (PE.2018.0373 du 31 janvier 2019 consid. 2b; PE.2017.0319 du 20 septembre 2018 consid. 2b). Enfin, si l'on peut relever à son crédit que le recourant n'a jamais attiré défavorablement l'attention sur lui et qu'il est parvenu, sans doute au prix d'importants efforts, à une autonomie financière, force est toutefois d'admettre que ces éléments, tout comme le fait qu'il participe de manière régulière à des actions d’entraide envers la collectivité ou son cercle d’amis, ne sont pas à ce point exceptionnels qu’ils commanderaient la poursuite de son séjour en Suisse. Au regard de l’ensemble des éléments précités, le recourant ne présente pas de raisons personnelles majeures justifiant la poursuite de son séjour en Suisse. e) Force est ainsi de constater que les conditions pour la prolongation de son autorisation de séjour, après la dissolution de l'union conjugale, en vertu des art. 50 al. 1 let. b et al. 2 LEI ne sont pas réalisées.</w:t>
      </w:r>
    </w:p>
    <w:p>
      <w:r>
        <w:rPr>
          <w:b/>
        </w:rPr>
        <w:t>E. 5</w:t>
      </w:r>
    </w:p>
    <w:p>
      <w:r>
        <w:t>Le tribunal se contentera de relever pour le reste, à toutes fins utiles, que le recourant ne peut pas davantage se prévaloir d'un cas individuel d'une extrême gravité au sens de l'art. 30 al. 1 let. b LEI; il peut être renvoyé à ce propos aux considérations qui précèdent sous l'angle de l'art. 50 al. 1 let. b LEI (consid. 4d).</w:t>
      </w:r>
    </w:p>
    <w:p>
      <w:r>
        <w:rPr>
          <w:b/>
        </w:rPr>
        <w:t>E. 6</w:t>
      </w:r>
    </w:p>
    <w:p>
      <w:r>
        <w:t>Le recourant fait valoir en dernier lieu que son renvoi serait inexigible, de sorte qu’il devrait être admis provisoirement en Suisse. a) Aux termes de l'art. 64 al. 1 LEI, les autorités compétentes rendent une décision de renvoi ordinaire à l'encontre d'un étranger qui n'a pas d'autorisation alors qu'il y est tenu (let. a), d'un étranger qui ne remplit pas ou ne remplit plus les conditions d'entrée en Suisse (art. 5 LEI; let. b) et d'un étranger auquel une autorisation est refusée ou dont l'autorisation, bien que requise, est révoquée ou n'est pas prolongée après un séjour autorisé (let. c). Le SEM peut admettre provisoirement en Suisse un étranger si l'exécution du renvoi n'est pas possible, n'est pas licite ou ne peut être raisonnablement exigée (art. 83 al. 1 LEI).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 7 août 2008 consid. 9.1, références citées). Ainsi, l'exécution n'est pas licite lorsque le renvoi de l'étranger dans son Etat d'origine ou de provenance ou dans un Etat tiers est contraire aux engagements de la Suisse relevant du droit international (art. 83 al. 3 LEI). De même,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L’art. 83 al. 3 LEI trouve application lorsque le renvoi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(ATAF C-498/2011 du 27 janvier 2011 consid. 4.2 et les références citées; arrêt PE.2013.0377 du 23 avril 2015).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Cette dernière hypothèse vise généralement celle où l’étranger malade allègue que le renvoi mettrait sa vie en péril (arrêts PE.2013.0078 du 9 décembre 2013, consid. 3; PE.2010.0346 du 29 mars 2011 consid. 6; PE.2010.0506 du 21 octobre 2010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(ATAF E-3657/2014 du 20 octobre 2014; ATAF E-8787/2010 du 24 janvier 2011, ainsi que les références citées). b) En l’occurrence, le recourant ne se trouve pas dans le champ d’application de ces deux dernières dispositions. Aucun élément du dossier ne démontre qu’il serait exposé, dans son pays d’origine, à un traitement inhumain, au point que l’art. 83 al. 3 LEI s’opposerait à son renvoi. S’agissant de l’art. 83 al. 4 LEI, la Turquie n’est pas un pays en situation de guerre civile, le recourant n’appartient en outre pas à une minorité qui serait persécutée, il n’allègue du reste rien à cet égard. Comme déjà relevé, la situation économique est effectivement plus délicate en Turquie qu’en Suisse. Ce motif ne permet cependant pas, à lui seul, de conclure que le renvoi du recourant serait illicite ou pas raisonnablement exigible, comme il le soutient. La situation sanitaire liée à la pandémie de coronavirus prévalant actuellement en Turquie n'est pas de nature à modifier ce constat. Il n'apparaît en effet pas qu'en cas de retour dans son pays d’origine, le recourant courrait un risque plus élevé pour sa santé que ses compatriotes demeurés au pays. A cela s'ajoute que la crise sanitaire liée au Covid-19 est mondiale et que les risques de complication qui y sont liés existent également en Suisse. Il n'apparaît pas non plus que les voyages en Turquie soient totalement proscrits compte tenu de la situation sanitaire, d'autant moins pour des ressortissants de l'Etat d'origine du voyageur.</w:t>
      </w:r>
    </w:p>
    <w:p>
      <w:r>
        <w:rPr>
          <w:b/>
        </w:rPr>
        <w:t>E. 7</w:t>
      </w:r>
    </w:p>
    <w:p>
      <w:r>
        <w:t>Par souci d’exhaustivité, on ajoutera que le recourant ne peut se prévaloir du droit au respect de la vie privée et de la vie de famille garanti par l'art. 8 CEDH pour s’opposer à son renvoi.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TF 2C_170/2017 du 15 février 2017 consid. 3.1; 2C_142/2015 du 13 février 2015 consid. 3.2). Dans l'ATF 144 I 266,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précité).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w:t>
      </w:r>
    </w:p>
    <w:p>
      <w:r>
        <w:rPr>
          <w:b/>
        </w:rPr>
        <w:t>E. 10</w:t>
      </w:r>
    </w:p>
    <w:p>
      <w:r>
        <w:t>consid. 4.3; 130 II 281 consid. 3.3). b) En l’espèce, on ne saurait admettre que le recourant, qui résidait en Suisse depuis huit ans lorsque la décision litigieuse a été rendue, puisse se prévaloir de l’art. 8 CEDH au titre de la protection de la vie privée, dès lors, comme exposé ci-dessus (cf. consid. 4d), qu’il ne peut faire état d’une intégration professionnelle ou sociale au-dessus de la moyenne. L'autorité intimée n’a par conséquent pas violé la garantie de la vie privée découlant de l’art. 8 CEDH en révoquant l’autorisation de séjour du recourant. 8. Les considérants qui précèdent conduisent au rejet du recours et à la confirmation de la décision attaquée. Le SPOP fixera au recourant un nouveau délai de départ approprié (cf. art. 64d LEI; TF 2C_815/2018 du 24 avril 2019 consid. 5.4 et 5.5; 2C_631/2018 du 4 avril 2019 consid. 6) en tenant compte de la situation sanitaire liée à la pandémie du coronavirus COVID-19. Vu l’issue de la cause, les frais de justice sont mis à la charge du recourant (art. 49 al. 1 LPA-VD).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