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PE.2021.0050 vom 28. September 2021</w:t>
      </w:r>
    </w:p>
    <w:p>
      <w:r>
        <w:t>VD Tribunal cantonal, 2021-09-28, FR</w:t>
      </w:r>
    </w:p>
    <w:p>
      <w:r>
        <w:rPr>
          <w:b/>
        </w:rPr>
        <w:t xml:space="preserve">Quelle: </w:t>
      </w:r>
      <w:r>
        <w:t>https://mcp.opencaselaw.ch/entscheid/vd_omni_PE.2021.0050</w:t>
      </w:r>
    </w:p>
    <w:p>
      <w:r>
        <w:t>FR: VD_OMNI PE.2021.0050 du 28 septembre 2021</w:t>
      </w:r>
    </w:p>
    <w:p>
      <w:r>
        <w:t>IT: VD_OMNI PE.2021.0050 del 28 settembre 2021</w:t>
      </w:r>
    </w:p>
    <w:p>
      <w:pPr>
        <w:pStyle w:val="Heading2"/>
      </w:pPr>
      <w:r>
        <w:t>Regeste</w:t>
      </w:r>
    </w:p>
    <w:p>
      <w:r>
        <w:t>A.________ /Service de la population (SPOP) | Recours formé par un ressortissant de République dominicaine contre le refus du SPOP de transformer son autorisation de séjour en autorisation d'établissement après un séjour légal et ininterrompu de cinq ans avec son épouse helvétique. Impact de l'endettement dans l'appréciation de l'intégration: le contexte dans lequel le recourant a contracté des dettes (à l'occasion d'un précédent séjour en Suisse) n'est pas déterminant en l'occurrence (consid. 2d/bb); au vu du montant total de ses dettes (de l'ordre de 28'000 fr.), leur remboursement à hauteur de 200 fr. par mois ne saurait être qualifié d'efficace (consid. 2d/cc). Rejet du recours et confirmation de la décision sur opposition attaquée. Recours au TF admis, arrêt annulé et renvoi de la cause au SPOP pour qu'il octroie une autorisation d'établissement à l'intéressé (arrêt 2C_847/2021 du 5 avril 2022).</w:t>
      </w:r>
    </w:p>
    <w:p>
      <w:pPr>
        <w:pStyle w:val="Heading2"/>
      </w:pPr>
      <w:r>
        <w:t>Erwägungen</w:t>
      </w:r>
    </w:p>
    <w:p>
      <w:r>
        <w:rPr>
          <w:b/>
        </w:rPr>
        <w:t>E. 1</w:t>
      </w:r>
    </w:p>
    <w:p>
      <w:r>
        <w:t>Déposé en temps utile (cf. art. 95 de la loi vaudoise du 28 octobre 2008 sur la procédure administrative - LPA-VD; BLV 173.36), indépendamment même des féries (cf. art. 96 let. a LPA-VD), le recours satisfait en outre aux autres conditions formelles de recevabilité (cf. en particulier art. 79 al. 1 LPA-VD, applicable par renvoi de l'art. 99 LPA-VD), de sorte qu'il y a lieu d'entrer en matière sur le fond.</w:t>
      </w:r>
    </w:p>
    <w:p>
      <w:r>
        <w:rPr>
          <w:b/>
        </w:rPr>
        <w:t>E. 2</w:t>
      </w:r>
    </w:p>
    <w:p>
      <w:r>
        <w:t>Le litige porte sur le refus de l'autorité intimée d'octroyer au recourant une autorisation d'établissement. a) Selon l'art. 42 al. 3 de la loi fédérale du 16 décembre 2005 sur les étrangers et l'intégration (LEI; RS 142.20), dans sa teneur en vigueur depuis le 1 er janvier 2019, après un séjour légal ininterrompu de cinq ans, le conjoint d'un ressortissant suisse a droit à l'octroi d'une autorisation d'établissement si les critères d'intégration définis à l'art. 58a LEI sont remplis. L'art. 60 al. 1 de l'ordonnance fédérale relative à l'admission, au séjour et à l'exercice d'une activité lucrative, du 24 octobre 2007 (OASA; RS 142.201), dans sa teneur en vigueur depuis le 1 er janvier 2019, prévoit également d'une façon générale - en lien notamment avec l'art. 42 al. 3 LEI - que l'octroi d'une autorisation d'établissement est soumis aux critères d'intégration définis à l'art. 58a LEI. b) Aux termes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critères sont explicités aux art. 77a à 77e OASA. Il résulte en particulier de l'art. 77a al. 1 OASA qu'il y a notamment non-respect de la sécurité et de l'ordre publics lorsque la personne concernée viole des prescriptions légales ou des décisions d'une autorité (let. a) respectivement s'abstient volontairement d'accomplir des obligations de droit public ou privés (let. b); dans ce cadre, le respect des décisions administratives et d'obligations de droit public ou privé se manifeste notamment par l'absence de poursuites (cf. Secrétariat d'Etat aux migrations [SEM], Directives LEI, octobre 2013 [version actualisée le 1 er janvier 2021], ch. 3.3.1.1/2 p. 42). Dans l'examen des critères d'intégration, les autorités compétentes disposent d'un large pouvoir d'appréciation (cf. art. 96 al. 1 LEI). Par ailleurs et d'une façon générale, plus le statut juridique sollicité confère des droits étendus au requérant, plus les exigences liées au niveau d’intégration sont élevées (Tribunal administratif fédéral [TAF] F-573/2021 du 14 juin 2021 consid. 4.3.1 et les références; cf. ég. SEM, Directives LEI, ch. 3.3.1 p. 41). c) Les principes juridiques appliqués à la notion d'intégration réussie avant l'entrée en vigueur, le 1 er janvier 2019, de la nouvelle disposition de l'art. 58a LEI (en application notamment de l'art. 4 de l'ancienne ordonnance fédérale du 24 octobre 2007 sur l'intégration des étrangers - aOIE -, remplacée au 1 er janvier 2019 par l'ordonnance du même nom du 15 août 2018; cf. ég. art. 77 al. 4 OASA en lien avec l'art. 50 al. 1 let. a LEI, dans leur teneur en vigueur avant le 1 er janvier 2019) et la jurisprudence y relative demeurent en principe valables sous l'empire du nouveau droit, sous cette réserve que les exigences linguistiques sont désormais précisées (cf. SEM, Directives LEI, ch. 3.3.1 p. 41). Dans ce cadre, la notion de " respect de la sécurité et de l'ordre publics " (au sens de l'art. 58a al. 1 let. a LEI) a une portée similaire à celle de " respect de l'ordre juridique " (au sens des art. 4 let. a aOIE et 77 al. 4 let. a OASA dans sa teneur en vigueur avant le 1 er janvier 2019). 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toutefois pas à lui seul de retenir une intégration réussie. Des périodes d'inactivité de durée raisonnable n'impliquent pas forcément une absence d'intégration professionnelle; il n'est pas non plus indispensable que l'étranger fasse montre d'une carrière professionnelle exemplaire. L'essentiel en la matière est que l'étranger subvienne à ses besoins, n'émarge pas à l'aide sociale et ne s'endette pas de manière disproportionnée (Tribunal fédéral [TF] 2C_706/2020 du 14 janvier 2021 consid. 4.3; 2C_527/2020 du 15 octobre 2020 consid. 3.1).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(TF 2C_686/2019 du 3 octobre 2019 consid. 5.2 et les références; CDAP PE.2020.0262 du 2 septembre 2021 consid. 6a/bb et les références). d) En l'espèce, dans la décision sur opposition attaquée, l'autorité intimée a en substance retenu que l'intégration du recourant était en l'état insuffisante pour justifier l'octroi d'une autorisation d'établissement pour le motif que le montant de ses dettes était important et qu'au vu des circonstances, il était trop tôt pour conclure à un assainissement de sa situation financière (cf. let. B/c supra ). Le recourant fait en substance grief à l'autorité intimée de n'avoir pas tenu compte des autres éléments attestant de son intégration respectivement du contexte dans lequel il avait contracté les dettes en cause et de ses efforts pour les rembourser. Il n'est pas contesté que le recourant respecte les valeurs de la Constitution, qu'il maîtrise la langue française et qu'il participe à la vie économique; l'intéressé, qui a d'ores et déjà vécu en Suisse de 1996 à 2008 (cf. let. A supra ) et a alors réussi en 2002 l'examen de formation pratique à la profession de tôlier en carrosserie, exerce en effet cette activité depuis son retour en Suisse et réalise désormais de ce chef un revenu de l'ordre de 5'400 fr. par mois (selon ses bulletins de salaire pour les mois d'avril et mai 2020). S'agissant d'apprécier son intégration en application des critères prévus par l'art. 58a al. 1 LEI, seul le non-respect de l'ordre public que représente son endettement peut en définitive lui être opposé. Le litige consiste ainsi à déterminer si cet élément est suffisant pour contrebalancer l'ensemble des circonstances qui parlent en faveur d'une intégration réussie. aa) Selon les extraits de l'Office des poursuites au dossier, le recourant faisait l'objet d'actes de défaut de biens pour un montant total de 59'778 fr. 65 au 6 décembre 2016, montant réduit à 34'980 fr. 60 au 19 août 2019; il a ainsi racheté dans l'intervalle des actes de défaut de biens pour un montant total de 24'808 fr. 05 (correspondant en moyenne à un remboursement de l'ordre de 750 fr. par mois). L'intéressé indique avoir encore procédé à de nouveaux rachats pour un montant total de 3'813 fr. 80 entre les mois de juillet et de septembre 2020, et s'acquitter en outre depuis le mois d'avril 2020 d'un montant mensuel de 200 fr. en faveur de l'un de ces créanciers. Sur la base de ces indications, il apparaît que le montant actuel de ses dettes s'élève ainsi désormais à un montant total de 28'000 fr. environ. bb) Cela étant, il s'impose en premier lieu de constater que les actes de défaut de bien en cause sont liés à des dettes contractées par le recourant lors de son précédent séjour en Suisse respectivement que l'intéressé n'a pas fait l'objet de poursuites depuis son retour en Suisse au mois d'août 2015, ce qui doit être retenu à son bénéfice. On ne saurait toutefois considérer que, dans la mesure où les actes de défaut de biens ont été délivrés entre 2004 et 2008 - ce qui ne permet au demeurant pas de déterminer les dates respectives des dettes elles-mêmes -, il les aurait contractées alors qu'il était en détention ou à l'étranger, quoi qu'il en dise; le recourant, qui été écroué dès le début de l'année 2004 et a bénéficié de la libération conditionnelle le 7 avril 2005, n'a en effet quitté la Suisse pour l'Espagne que le 31 décembre 2008. On ne voit pas davantage ce qui permettrait de retenir que l'intéressé n'aurait pas accumulé les dettes en cause de manière volontaire. C'est le lieu de relever que certaines d'entre elles (pour un montant total de l'ordre de 3'600 fr.) concernent des montants dus à l'assurance-maladie, ce qui doit être retenu en sa défaveur - s'agissant de la violation d'obligations légales qui incombent à toute personne vivant en Suisse (cf. TF 2C_352/2014 du 18 mars 2015 consid. 4.5). On ne voit dès lors pas que le seul contexte dans lequel le recourant a contracté ses dettes obligerait à considérer que leur existence ne remet pas en cause la réussite de son intégration. cc) Le recourant se prévaut par ailleurs de ce qu'il a d'ores et déjà considérablement réduit le montant total des actes de défaut de biens dont il fait l'objet, qu'il poursuit ses efforts dans ce sens et qu'au vu de sa situation financière, il est parfaitement apte à régulariser progressivement sa situation. La diminution de ses dettes par l'intéressé entre les mois de décembre 2016 et août 2019 doit en effet être remarquée; on pourrait a priori considérer que, durant cette période, il s'est effectivement employé à rembourser les dettes en cause de façon constante et efficace au sens de la jurisprudence rappelée ci-dessus. Il n'en demeure pas moins qu'il a par la suite cessé de procéder à de tels remboursement durant quelque huit mois - alors qu'il ne conteste pas que sa situation financière lui aurait permis de poursuivre ses efforts dans ce sens. S'il a encore ponctuellement racheté des actes de défaut de bien pour un montant total de 3'813 fr. 80 entre les mois de juillet et de septembre 2020, il apparaît, au vu des pièces qu'il a produites à ce propos, qu'il n'a pas racheté l'ensemble de ces actes à leur pleine valeur, bénéficiant d'arrangements de paiement - ce qui atteste du fait qu'il s'est non seulement endetté mais qu'il l'a fait de façon disproportionnée (cf. CDAP PE.2018.0208 du 29 mai 2019 consid. 4b/cc/ccc). Pour le reste, le recourant a indiqué dans son recours qu'il versait alors (et depuis le mois d'avril 2020) un montant de 200 fr. par mois afin de désintéresser l'un de ces créanciers. Il s'impose de constater qu'en regard du montant total de ses dettes (qui peut être estimé à environ 28'000 fr. comme on l'a déjà vu), on ne saurait considérer que, par ce seul versement mensuel de 200 fr., il serait en l'état réputé s'employer à rembourser ses dettes de façon efficace au sens de la jurisprudence rappelée ci-dessus, ce d'autant moins qu'il indique dans son recours que lui-même et son épouse ont un " disponible " mensuel d'environ 2'800 fr. (cf. ch. 10 p. 4). Pour comparaison, a été jugé suffisamment important pour être qualifié d'efficace un remboursement par le biais de saisies à hauteur de 17'000 fr. par année dans le cas d'une personne endettée à hauteur d'environ 106'000 fr. (TF 2C_352/2014 précité, consid. 4.5), de sorte que les dettes de l'intéressé seraient éteintes après un peu plus de six ans - alors qu'il faudrait encore plus de onze ans au recourant pour éteindre les siennes (nonobstant le fait que leur montant total est considérablement moindre) au rythme auquel il s'y emploie actuellement. dd) Dans ces conditions, l'autorité intimée n'a pas violé le droit ni abusé de son pouvoir d'appréciation en considérant qu'au vu du montant des dettes du recourant respectivement des modalités actuelles d'assainissement de sa situation financière, son intégration était en l'état insuffisante pour justifier l'octroi d'une autorisation d'établissement en sa faveur - étant rappelé que les exigences liées au niveau d'intégration sont d'autant plus élevées que le statut juridique sollicité confère des droits étendus au requérant (cf. consid. 2b in fine supra ). Le tribunal ne peut pour le reste qu'encourager le recourant à poursuivre ses efforts dans le sens du remboursement de ses dettes, étant précisé qu'il lui sera loisible de déposer une nouvelle demande tendant à l'octroi d'une autorisation d'établissement sur la base de l'art. 42 al. 3 LEI dès que sa situation financière sera réputée assainie.</w:t>
      </w:r>
    </w:p>
    <w:p>
      <w:r>
        <w:rPr>
          <w:b/>
        </w:rPr>
        <w:t>E. 3</w:t>
      </w:r>
    </w:p>
    <w:p>
      <w:r>
        <w:t>Il résulte des considérants qui précèdent que le recours doit être rejeté et la décision sur opposition attaquée confirmée. Un émolument de 600 fr. est mis à la charge du recourant,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