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PE.2021.0029 vom 2. August 2021</w:t>
      </w:r>
    </w:p>
    <w:p>
      <w:r>
        <w:t>VD Tribunal cantonal, 2021-08-02, FR</w:t>
      </w:r>
    </w:p>
    <w:p>
      <w:r>
        <w:rPr>
          <w:b/>
        </w:rPr>
        <w:t xml:space="preserve">Quelle: </w:t>
      </w:r>
      <w:r>
        <w:t>https://mcp.opencaselaw.ch/entscheid/vd_omni_PE.2021.0029</w:t>
      </w:r>
    </w:p>
    <w:p>
      <w:r>
        <w:t>FR: VD_OMNI PE.2021.0029 du 2 août 2021</w:t>
      </w:r>
    </w:p>
    <w:p>
      <w:r>
        <w:t>IT: VD_OMNI PE.2021.0029 del 2 agosto 2021</w:t>
      </w:r>
    </w:p>
    <w:p>
      <w:pPr>
        <w:pStyle w:val="Heading2"/>
      </w:pPr>
      <w:r>
        <w:t>Regeste</w:t>
      </w:r>
    </w:p>
    <w:p>
      <w:r>
        <w:t>A.________, B.________/Service de l'emploi Contrôle du marché du travail, Service de la population (SPOP) | La recourante, ressortissante ukrainienne venue en Suisse pour suivre un Master en architecture d'intérieur-décoration, s'est vu délivrer une autorisation de séjour pour formation. A l'issue de celle-ci, elle a sollicité une autorisation pour exercer une activité lucrative. La décision du SDE de ne pas octroyer à la recourante une autorisation pour exercer une activité lucrative dépendante ou indépendante en puisant dans les unités réduites à disposition du canton de Vaud n'est pas critiquable: - l'activité en cause ne présente pas un intérêt économique particulier pour le canton ni pour la Suisse, de sorte que la condition de servir les intérêts du pays (art. 18 let. a LEI et 19 let. a LEI) n'est pas remplie. Peu importe que l'examen se fasse sous l'angle d'une potentielle activité salariée ou sous l'angle d'une activité lucrative indépendante. - La recourante ne remplit pas non plus les conditions de l'art. 23 al. 1 LEI (cadres, spécialistes et autres travailleurs qualifiés) ni celles permettant selon l'art. 23 al. 3 LEI de déroger à l'exigence de qualifications personnelles. Recours rejeté.</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notamment, de la loi fédérale du 16 décembre 2005 sur les étrangers et l'intégration (LEI; RS 142.20), ainsi qu'aux recours contre lesdites décisions. Aux termes de l'art. 92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SDE. b) Déposé dans le délai prévu par la LPA-VD par des personnes physique et morale directement touchées par la décision attaquée, le recours satisfait en outre aux autres conditions formelles de recevabilité si bien qu'il convient d'entrer en matière sur le fond (art. 75, 79, 92, 95 et 99 LPA-VD).</w:t>
      </w:r>
    </w:p>
    <w:p>
      <w:r>
        <w:rPr>
          <w:b/>
        </w:rPr>
        <w:t>E. 2</w:t>
      </w:r>
    </w:p>
    <w:p>
      <w:r>
        <w:t>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w:t>
      </w:r>
    </w:p>
    <w:p>
      <w:r>
        <w:rPr>
          <w:b/>
        </w:rPr>
        <w:t>E. 3</w:t>
      </w:r>
    </w:p>
    <w:p>
      <w:r>
        <w:t>Enfin, la recourante B.________ fait valoir que l’Ecole ******** lui a proposé un poste d’enseignante. Il n’est pas démontré que l’employeur précité a entrepris, préalablement à l’engagement de B.________, des efforts de recherche en vue de trouver une enseignante sur le marché local, comme l’exige pourtant l’art. 21 al. 1 LEI. En effet, aucune annonce du poste vacant auprès de l’Office régional du placement compétent n’a été faite, ni de publication d’une offre dans la presse locale. Rien n’est du reste allégué à cet égard. Il apparaît que l’employeur s’est seulement engagé à conclure un contrat de travail avec la recourante B.________ si celle-ci venait à obtenir une autorisation de travail.</w:t>
      </w:r>
    </w:p>
    <w:p>
      <w:r>
        <w:rPr>
          <w:b/>
        </w:rPr>
        <w:t>E. 4</w:t>
      </w:r>
    </w:p>
    <w:p>
      <w:r>
        <w:t>Les considérants qui précèdent conduisent au rejet du recours et à la confirmation de la décision attaquée. Les recourantes, qui succombent, supportent les frais de justice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