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PE.2021.0018 vom 15. Februar 2021</w:t>
      </w:r>
    </w:p>
    <w:p>
      <w:r>
        <w:t>VD Tribunal cantonal, 2021-02-15, FR</w:t>
      </w:r>
    </w:p>
    <w:p>
      <w:r>
        <w:rPr>
          <w:b/>
        </w:rPr>
        <w:t xml:space="preserve">Quelle: </w:t>
      </w:r>
      <w:r>
        <w:t>https://mcp.opencaselaw.ch/entscheid/vd_omni_PE.2021.0018</w:t>
      </w:r>
    </w:p>
    <w:p>
      <w:r>
        <w:t>FR: VD_OMNI PE.2021.0018 du 15 février 2021</w:t>
      </w:r>
    </w:p>
    <w:p>
      <w:r>
        <w:t>IT: VD_OMNI PE.2021.0018 del 15 febbraio 2021</w:t>
      </w:r>
    </w:p>
    <w:p>
      <w:pPr>
        <w:pStyle w:val="Heading2"/>
      </w:pPr>
      <w:r>
        <w:t>Regeste</w:t>
      </w:r>
    </w:p>
    <w:p>
      <w:r>
        <w:t>A.________ /Service de la population (SPOP) | Rejet par le SPOP de la demande de réexamen formée par un ressortissant équatorien dont le refus d'octroi d'une autorisation de séjour en vue de mariage a été confirmé par la CDAP et le TF moins d'une année auparavant. Son passé pénal, comprenant 3 condamnations pour séjour illégal, lui est encore opposable. La naissance de son deuxième enfant ne constitue pas une modification sensible des circonstances au regard de la LEI. Rejet des griefs fondés sur les art. 8 CEDH et 3 CDE, étant relevé que la vie familiale peut être réalisée dans le pays d'origine du couple. Rejet du recours en application de la procédure sommaire de l'art. 82 LPA-VD. Recours au TF rejeté (2C_249/2021 du 28 juin 2021).</w:t>
      </w:r>
    </w:p>
    <w:p>
      <w:pPr>
        <w:pStyle w:val="Heading2"/>
      </w:pPr>
      <w:r>
        <w:t>Erwägungen</w:t>
      </w:r>
    </w:p>
    <w:p>
      <w:r>
        <w:rPr>
          <w:b/>
        </w:rPr>
        <w:t>E. 1</w:t>
      </w:r>
    </w:p>
    <w:p>
      <w:r>
        <w:t>Interjeté dans les délai et forme prescrits et transmis à l'autorité compétente par l'autorité intimée, le recours satisfait aux conditions formelles de recevabilité de l’art. 79 LPA-VD, applicable par renvoi de l'art. 99 LPA-VD, de sorte qu'il y a lieu d'entrer en matière sur le recours.</w:t>
      </w:r>
    </w:p>
    <w:p>
      <w:r>
        <w:rPr>
          <w:b/>
        </w:rPr>
        <w:t>E. 2</w:t>
      </w:r>
    </w:p>
    <w:p>
      <w:r>
        <w:t>L'autorité entre en matière sur la demande: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La jurisprudence a récemment précisé les conditions auxquelles un étranger avait droit à ce que sa demande d'autorisation de séjour fasse l'objet d'un nouvel examen lorsque, comme en l'espèce, une autorité judiciaire a confirmé la révocation d'une précédente autorisation (PE.2020.0135 du 18 septembre 2020).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LTF). Toutefois, la voie de la révision n'a un caractère exclusif que pour autant que la demande de réexamen ou reconsidération vise à remettre en cause des éléments bénéficiant de l'autorité de chose jugée, laquelle ne vaut que pour les mêmes parties, les mêmes faits et les mêmes bases juridiques. Lorsque le requérant invoque des faits nouveaux (" vrais nova "; art. 64 al. 2 let. a LPA-VD), il doit donc adresser une demande de réexamen – que l'on peut également qualifier de nouvelle demande dès lors qu'elle porte sur des éléments qui n'ont pas déjà été tranchés par une autorité de recours – à l'autorité de première instance (Thierry Tanquerel, Manuel de droit administratif, 2 ème édition, 2018, p. 494, n. 1438; Blaise Knapp, Précis de droit administratif, 4 ème édition, n. 1782, p. 374; Pierre Moor/Etienne Poltier, Droit administratif, vol. II: Les actes administratifs et leur contrôle, 3 ème édition, 2011, p. 405). La loi exclut d'ailleurs expressément que des faits postérieurs nouveaux (" vrais nova ") puissent être invoqués à l'appui d'une demande de révision (art. 132 al. 2 let. a in fine LTF; art. 100 al. 2 LPA-VD). L'autorité administrative de première instance doit donc entrer en matière sur une demande de "réexamen" d'une décision, y compris lorsque celle-ci a été confirmée sur recours, lorsque l'état de fait à la base de la décision s'est modifié dans une mesure notable depuis l'entrée en force de celle-ci. 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avoir pour conséquence de remettre continuellement en question des décisions entrées en force. L'autorité administrative n'est ainsi tenue d'entrer en matière sur une nouvelle demande que lorsque les circonstances ont subi des modifications notables.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On doit se montrer d'autant plus exigeant lorsqu'une nouvelle demande est déposée peu de temps après l'entrée en force d'une précédente décision.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2C_862/2018 du 15 janvier 2019 consid. 3.1 et les arrêts cités). Le Tribunal fédéral a récemment considéré que l'arrivée d'un enfant ne modifiait par une récente pesée des intérêts, ce d'autant que les intéressés connaissaient leur situation précaire sous l'angle du droit des étrangers lorsqu'ils ont conçu leur enfant (TF 2C_959/2020 du 28 décembre 2020; 2C_75/2020 précité consid. 5.3; cf. également PE.2020.0170 du 21 octobre 2020 et les références citées). c) En l'espèce, la décision du SPOP refusant l'octroi d'une autorisation de séjour à l'intéressé en vue de mariage a fait l'objet d'un recours à la CDAP, laquelle a confirmé cette décision par arrêt du 23 janvier 2020. Le Tribunal fédéral a rejeté le recours de l'intéressé contre cet arrêt (TF 2C_183/2020 du 21 avril 2020). Ainsi, l'octroi d'une autorisation de séjour a définitivement été refusé par l'arrêt du Tribunal fédéral du 21 avril 2020. Entre l'arrêt du Tribunal fédéral du 21 avril 2020 et la demande de réexamen déposée du 9 décembre 2020, seuls sept mois environ se sont écoulés, soit un court laps de temps. Ainsi, comme l'a relevé l'autorité intimée, la mise en balance des intérêts privés du recourant avec l'intérêt public à lui refuser l'octroi d'une autorisation de séjour a déjà fait l'objet d'un examen très récent par le Tribunal fédéral (à la suite du Tribunal cantonal), qui a notamment tenu compte de l'existence de la relation stable avec sa compagne. Les arguments du recourant en lien notamment avec son long séjour en Suisse et le temps écoulé depuis sa condamnation à une peine de 28 mois d'emprisonnement en 2005, sont dès lors irrecevables. Le recourant avait déjà allégué devant la CDAP être père d'un enfant, bien qu'il ne l'avait à l'époque pas encore reconnu officiellement. Quant à son second enfant, né le ******** juillet 2019, soit plusieurs mois avant que l'arrêt de la CDAP ne soit rendu, le recourant n'en avait pas allégué l'existence. Son implication auprès de ses enfants, qu'il n'y a pas lieu de mettre en doute, aurait également pu être mise en exergue lors de la procédure antérieure. Les lettres de soutien qu'il produit, de même que l'attestation médicale selon laquelle son départ pourrait entraîner des difficultés pour les enfants, ne changent rien à la situation qui prévalait déjà une année auparavant, lorsque la CDAP a rendu l'arrêt PE.2019.0066. On relèvera que la mère subvient aux besoins de la famille et que les enfants sont gardés à plein temps. Ainsi, comme le relève l'autorité intimée, le recourant n'invoque aucun élément nouveau qu'il aurait été dans l'impossibilité d'invoquer dans le cadre de la procédure antérieure. Quoi qu'il en soit, le recourant et sa compagne connaissaient la situation précaire du recourant sous l'angle du droit des étrangers lorsqu'ils ont conçu leurs enfants. Dans son arrêt du 23 janvier 2020, la CDAP avait constaté l'incapacité du recourant à se conformer à l'ordre juridique suisse, au vu de ses trois condamnations pour séjour illégal, dont la dernière datait de 2015 seulement. Là encore, moins d'une année après l'arrêt du Tribunal fédéral, ses antécédents pénaux demeurent opposables au recourant. La situation du recourant sous l'angle du droit au respect de la vie familiale (art. 8 CEDH) a donc déjà été tranchée. S'agissant de la prise en compte de l'intérêt fondamental de l'enfant ( art.</w:t>
      </w:r>
    </w:p>
    <w:p>
      <w:r>
        <w:rPr>
          <w:b/>
        </w:rPr>
        <w:t>E. 3</w:t>
      </w:r>
    </w:p>
    <w:p>
      <w:r>
        <w:t>Manifestement dénué de chances de succès, le recours est traité selon la procédure simplifiée de l'art. 82 LPA-VD, sur la base du dossier produit par l’autorité intimée et avec une motivation sommaire. En application de l'art. 18 al. 1 LPA-VD,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La seconde de ces conditions n'étant pas remplie en l'occurrence pour les motifs exposés au considérant 2 ci-dessus, la requête d'assistance judiciaire doit être rejetée. Vu la situation financière apparemment précaire du recourant, il se justifie de renoncer à la perception d'un émolument judiciaire (art. 50 LPA-VD).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