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PE.2020.0266 vom 25. März 2021</w:t>
      </w:r>
    </w:p>
    <w:p>
      <w:r>
        <w:t>VD Tribunal cantonal, 2021-03-25, FR</w:t>
      </w:r>
    </w:p>
    <w:p>
      <w:r>
        <w:rPr>
          <w:b/>
        </w:rPr>
        <w:t xml:space="preserve">Quelle: </w:t>
      </w:r>
      <w:r>
        <w:t>https://mcp.opencaselaw.ch/entscheid/vd_omni_PE.2020.0266</w:t>
      </w:r>
    </w:p>
    <w:p>
      <w:r>
        <w:t>FR: VD_OMNI PE.2020.0266 du 25 mars 2021</w:t>
      </w:r>
    </w:p>
    <w:p>
      <w:r>
        <w:t>IT: VD_OMNI PE.2020.0266 del 25 marzo 2021</w:t>
      </w:r>
    </w:p>
    <w:p>
      <w:pPr>
        <w:pStyle w:val="Heading2"/>
      </w:pPr>
      <w:r>
        <w:t>Regeste</w:t>
      </w:r>
    </w:p>
    <w:p>
      <w:r>
        <w:t>A.________/Service de la population (SPOP) | Confirmation du refus d'entrer en matière du SPOP sur une demande d'autorisation de séjour pour cas individuel d'extrême gravité déposée 7 mois après un arrêt de la CDAP confirmant le refus de prolonger une autorisation de séjour suite à la dissolution de la famille. Ni l'acquittement du recourant et la détention illicte subie ni les éléments relatifs à l'intégration (dont la CDAP avait déjà tenu compte) ne constituent des éléments nouveaux justifisant d'entrer en matière sur la demande. Rejet du recours. Recours au TF manifestement irrecevable (2D_19/2021 du 3 mai 2021).</w:t>
      </w:r>
    </w:p>
    <w:p>
      <w:pPr>
        <w:pStyle w:val="Heading2"/>
      </w:pPr>
      <w:r>
        <w:t>Erwägungen</w:t>
      </w:r>
    </w:p>
    <w:p>
      <w:r>
        <w:rPr>
          <w:b/>
        </w:rPr>
        <w:t>E. 1</w:t>
      </w:r>
    </w:p>
    <w:p>
      <w:r>
        <w:t>La décision attaquée ayant été notifiée avant l'entrée en vigueur de l'art. 34a de la loi du 18 décembre 2007 d'application dans le Canton de Vaud de la loi fédérale sur les étrangers et l'intégration (LVLEI; BLV 142.11), elle n'est pas susceptible d'opposition devant le SPOP mais uniquement d'un recours au Tribunal cantonal. Déposé dans le délai légal et répondant pour le surplus aux exigences formelles prévues par la loi, le recours est recevable si bien qu'il convient d'entrer en matière sur le fond (art. 95, 96, 79 et 99 de la loi du 28 octobre 2008 sur la procédure administrative [LPA-VD; BLV 173.36]).</w:t>
      </w:r>
    </w:p>
    <w:p>
      <w:r>
        <w:rPr>
          <w:b/>
        </w:rPr>
        <w:t>E. 2</w:t>
      </w:r>
    </w:p>
    <w:p>
      <w:r>
        <w:t>La décision attaquée refuse d'entrer en matière sur la demande d'autorisation de séjour du recourant, subsidiairement la rejette. a) L’arrêt de la CDAP du 17 avril 2020 s’étant substitué à la décision du SPOP du 4 février 2019 refusant la prolongation de l’autorisation de séjour par regroupement familial de l’intéressé, cette dernière décision ne peut faire l’objet d’un réexamen (arrêt PE.2020.0135 du 18 septembre 2020 et réf. citées) En principe, même après un refus ou une révocation d'une autorisation de séjour, il est toutefois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TF 2C_862/2018 du 15 janvier 2019 consid. 3.1 et les arrêts cités). b) En l'occurrence, le recourant a déposé une nouvelle demande d'autorisation de séjour le 30 novembre 2020, soit seulement environ 7 mois après que la CDAP a confirmé le refus de prolonger son autorisation de séjour par regroupement familial. Le recourant soutient qu’il n’a pas pu recourir contre l’arrêt de la CDAP précité puisqu’il était en détention. On relèvera toutefois que le recourant était représenté par son mandataire auquel l’arrêt a été notifié et qu’il n’a pas formulé de demande de restitution du délai de recours au Tribunal fédéral (art. 50 de la loi du 17 juin 2005 sur le Tribunal fédéral [LTF; RS 173.110]). Il y a donc lieu de considérer que l’arrêt de la CDAP est entré en force. Pour le surplus, le court laps de temps écoulé depuis l’arrêt de la CDAP ne permet manifestement pas de considérer qu’une nouvelle balance des intérêts se justifierait par le seul écoulement du temps. c) Le fait que le recourant paraisse fonder sa demande sur un fondement juridique différent, soit l’art. 30 al. 1 let. b LEI relatif au cas individuel d’extrême gravité et non plus sur l’art. 50 al. 1 let. b LEI en lien avec le regroupement familial, ne saurait justifier un nouvel examen des circonstances. En effet, comme la jurisprudence a déjà eu l’occasion de le préciser (arrêt PE.2020.0135 du 18 septembre 2020, consid. 5/b/aa), la notion de raisons personnelles majeures justifiant la prolongation de l’autorisation de séjour par regroupement familial après dissolution de la famille s’apparente à celle du cas individuel d’extrême gravité au sens de l'art. 30 al. 1 let. b LEI si bien que les critères figurant à l'art. 31 OASA – disposition qui se réfère d'ailleurs tant à l'art. 30 al. 1 let. b qu'à l'art. 50 al. 1 let. b LEI – sont également applicables (cf. également Directives et commentaires du Secrétariat d'Etat aux migrations "Domaine des étrangers" [Directives LEI], état au 01.01.2021, ch. 6.15.3). Ce motif ne justifie donc pas d’entrer en matière sur la demande d’autorisation de séjour du recourant. d) En outre, le recourant ne peut se prévaloir d’aucune modification notable des circonstances au sens de la jurisprudence précitée. L’intéressé se prévaut d'abord de son acquittement dans le cadre de la procédure pénale dirigée à son encontre pour contrainte sexuelle et viol. Lorsqu’elle a statué sur la prolongation de l’autorisation de séjour du recourant, la CDAP n’a pas tenu compte de la mise en détention provisoire du recourant. Le fait que cette détention se soit en fin de compte avérée injustifiée suite au jugement du Tribunal correctionnel du 10 novembre 2020 n’est pas de nature à modifier les circonstances. Certes, on peut concevoir que la période de détention subie a pu avoir un impact sur la santé de l’intéressé. A cet égard, celui-ci fait valoir qu’il serait atteint d’un acouphène suite à une inflammation contractée en prison. Il ne résulte toutefois ni des allégations du recourant ni des pièces produites que cet acouphène nécessiterait un suivi médical régulier ou qu’il ne pourrait être traité dans le pays d’origine du recourant. Pour le surplus, le recourant invoque sa bonne intégration professionnelle et fait valoir que son ancien employeur est prêt à le réengager. Même s’il produit à l’appui de ses dires des pièces nouvelles – notamment des témoignages écrits – ce motif a déjà été pris en considération par la CDAP dans son arrêt précité et ne constitue pas un élément nouveau. Le recourant aurait en outre déjà pu produire ces pièces dans le cadre de la précédente procédure. Il ne résulte de toute manière pas de ces attestations, qui émanent pour l’essentiel de collègues de travail ou de compatriotes domiciliés dans les cantons de Fribourg et du Valais, que l’intégration du recourant soit particulièrement poussée. Le fait qu’il n’ait pas fait l’objet de poursuites et que son comportement n’ait pas donné lieu à des condamnations ne saurait être considéré comme suffisant à cet égard. Enfin, le recourant ne peut rien tirer non plus de sa demande de transcription au registre de l’état civil de son mariage avec B.________. En effet, selon ses propres déclarations, son épouse et son enfant résident en Italie où ils disposent d’un titre de séjour. Le recourant ne peut donc en tirer aucun argument en lien avec la poursuite de son séjour en Suisse. e) Le recourant ne saurait non plus se prévaloir d’une violation du principe de la bonne foi (art. 9 Cst.) au motif que son séjour aurait été implicitement toléré par les autorités. Il ressort bien au contraire du dossier que le recourant s’est vu notifier un nouveau délai de départ dès l'entrée en force de la décision refusant le renouvellement de son autorisation de séjour, laquelle ne pouvait être exécutée en raison de sa mise en détention provisoire. Il a été convoqué dès sa mise en liberté en vue de l’exécution du renvoi. Le recourant ne peut au surplus rien tirer du fait qu’il a pu prolonger son séjour au bénéfice de l’effet suspensif de ses recours. f) C'est donc à juste titre que l'autorité intimée a refusé d'entrer en matière sur la demande du recourant, qui tend uniquement à remettre en cause une décision déjà entrée en force. Il n'est donc pas nécessaire de procéder à une nouvelle balance des intérêts et d'examiner si elle doit subsidiairement être rejetée.</w:t>
      </w:r>
    </w:p>
    <w:p>
      <w:r>
        <w:rPr>
          <w:b/>
        </w:rPr>
        <w:t>E. 3</w:t>
      </w:r>
    </w:p>
    <w:p>
      <w:r>
        <w:t>Mal fondé, le recours doit être rejeté et la décision attaquée confirmée. Le recourant, qui succombe, supportera les frais de la cause (art. 49 al. 1 LPA-VD). Il n'y a pas lieu d'allouer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