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PE.2020.0251 vom 9. März 2021</w:t>
      </w:r>
    </w:p>
    <w:p>
      <w:r>
        <w:t>VD Tribunal cantonal, 2021-03-09, FR</w:t>
      </w:r>
    </w:p>
    <w:p>
      <w:r>
        <w:rPr>
          <w:b/>
        </w:rPr>
        <w:t xml:space="preserve">Quelle: </w:t>
      </w:r>
      <w:r>
        <w:t>https://mcp.opencaselaw.ch/entscheid/vd_omni_PE.2020.0251</w:t>
      </w:r>
    </w:p>
    <w:p>
      <w:r>
        <w:t>FR: VD_OMNI PE.2020.0251 du 9 mars 2021</w:t>
      </w:r>
    </w:p>
    <w:p>
      <w:r>
        <w:t>IT: VD_OMNI PE.2020.0251 del 9 marzo 2021</w:t>
      </w:r>
    </w:p>
    <w:p>
      <w:pPr>
        <w:pStyle w:val="Heading2"/>
      </w:pPr>
      <w:r>
        <w:t>Regeste</w:t>
      </w:r>
    </w:p>
    <w:p>
      <w:r>
        <w:t>A.________ /Service de la population (SPOP) | Recours d'un ressortissant kosovar contre la décision lui refusant une autorisation de séjour et prononçant son renvoi de Suisse. Cas de rigueur (art. 30 al. 1 let. b LEI). Le recourant ne peut pas se prévaloir de son long séjour en Suisse (depuis 2006) car celui-ci a toujours été illégal. Son intégration sur le plan professionnel (même employeur depuis son arrivée en Suisse) et social ne suffit pas à justifier l'octroi d'un autorisation pour cas de rigueur. Réintégration possible dans son pays d'origine où vivent sa femme et ses deux enfants. Rejet du recours. Recours au TF déclaré irrecevable (arrêt TF 2D_17/2021 du 22 avril 2021).</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 recourant, destinataire de la décision, a qualité pour recourir (art. 75 let. a LPA-VD, par renvoi de l'art. 99 LPA-VD). Le recours satisfait en outre aux conditions formelles énoncées par l'art. 79 LPA-VD (par renvoi de l'art. 99 LPA-VD). Il y a donc lieu d'entrer en matière sur le fond.</w:t>
      </w:r>
    </w:p>
    <w:p>
      <w:r>
        <w:rPr>
          <w:b/>
        </w:rPr>
        <w:t>E. 2</w:t>
      </w:r>
    </w:p>
    <w:p>
      <w:r>
        <w:t>Le recourant conteste le refus du SPOP de lui octroyer une autorisation de séjour pour cas de rigueur. Il estime que la durée de son séjour, sa situation professionnelle ainsi que son intégration sociale justifient de lui octroyer l'autorisation requise. a) La loi fédérale sur les étrangers et l'intégration du 16 décembre 2005 (LEI; RS 142.20), dans sa teneur en vigueur depuis le 1er janvier 2019, est applicable, le recourant étant ressortissant du Kosovo. L'art. 30 al. 1 let. b LEI prévoit qu'il est possible de déroger aux conditions d'admission (art. 18 à 29 LEI) dans le but notamment de tenir compte des cas individuels d'une extrême gravité. L'art. 31 de l'ordonnance fédérale du 24 octobre 2007 relative à l'admission, au séjour et à l'exercice d'une activité lucrative (OASA; RS 142.201), dans sa teneur en vigueur dès le 1 er janvier 2019, précise cette notion comme il suit: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Les critères d'intégration définis à l'art 58a al. 1 LEI, disposition à laquelle renvoie l'art. 31 al. 1 let. a OASA sont les suivants: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137 II 345 consid. 3.2.1; arrêt TF 2C_367/2016 du 16 juin 2016 consid. 2 et les références). Selon la jurisprudence du Tribunal fédéral,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y soit bien intégré et que son comportement n'ait pas fait l'objet de plaintes ne suffit pas à constituer un cas individuel d'une extrême gravité; encore faut-il que la relation de l'intéressé avec la Suisse soit si étroite qu'on ne puisse exiger de lui qu'il aille vivre dans un autre pays, notamment dans son pays d'origine (ATF 136 I 254 consid. 5.3.1, 130 II 39 consid. 3 et les références citées, arrêt TF 2C_754/2018 du 28 janvier 2019 consid. 7.2). Le Tribunal fédéral a précisé que les séjours illégaux en Suisse ne sont pas pris en compte dans l'examen d'un cas de rigueur; la longue durée d'un séjour en Suisse n'est ainsi pas, à elle seule, un élément constitutif d'un cas personnel d'extrême gravité dans la mesure où ce séjour est illégal. Sinon, l'obstination à violer la législation en vigueur serait en quelque sorte récompensée (ATF 137 II 1 consid. 4.3).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124 II 110 consid. 3).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ATAF F-3272/2014 du 18 août 2016 consid. 5.4 et F-3709/2014 du 1er juillet 2016 consid. 7.2). b) Par ailleurs, un étranger peut se prévaloir de l'art. 8 de la Convention de sauvegarde des droits de l’homme et des libertés fondamentales du 4 novembre 1950 (CEDH; RS 0.101), qui garantit à toute personne le droit au respect de sa vie privée et familiale. Selon une jurisprudence constante, cette disposition ne confère pas un droit inconditionnel à une autorisation (ATF 144 I 266 consid. 3.2; 140 I 145 consid. 3.1; arrêt TF 2C_330/2018 du 27 mai 2019 consid. 3.1; PE.2018.0342 du 12 juillet 2019 consid. 4b). Un étranger peut néanmoins, selon les circonstances, invoquer l'art. 8 CEDH au soutien de sa demande d'autorisation. A cet égard, le refus de prolonger une autorisation de séjour ou d'établissement fondé sur l'art. 8 par. 2 CEDH suppose une pesée des intérêts en présence et l'examen de la proportionnalité de la mesure (ATF 139 I 145 consid. 2.2; 135 II 377 consid. 4.3; arrêt TF 2C_191/2015 du 12 juin 2015 consid. 4.4).  La durée de résidence en Suisse de l'étranger constitue un critère très important (ATF 144 I 266 consid. 3.9). Il doit néanmoins s'agir d'un séjour légal, étant rappelé que les années passées en Suisse dans l'illégalité ou au bénéfice d'une simple tolérance – par exemple en raison de l'effet suspensif attaché à des procédures de recours – ne revêtent que peu de poids et ne sont par conséquent pas déterminantes (ATF 137 II 1 consid. 4.3; 134 II 10 consid. 4.3; arrêts TF 2C_72/2019 du 7 juin 2019 consid. 7.1 et 2C_20/2019 du 13 mai 2019 consid. 7.1). c) En substance, à l'appui de sa demande, le recourant se prévaut de la durée de son séjour en Suisse, de son intégration professionnelle et sociale, de son autonomie financière et du bon comportement dont il fait preuve dans ce pays. Le recourant peut se prévaloir en l'espèce d'un long séjour en Suisse. Il est arrivé en Suisse en 2006 et a travaillé depuis lors chez un agriculteur à ********. Toutefois, quand bien même la durée du séjour du recourant en Suisse est importante, il s’agit d’un séjour illégal qui ne saurait être déterminant dans l’appréciation d’un cas de rigueur, selon la jurisprudence bien établie du Tribunal fédéral (ATF 137 II 1 consid. 4.3). Sur le plan professionnel et financier, il est établi que le recourant exerce depuis son arrivée en Suisse une activité lucrative chez le même employeur qui lui permet d’être autonome et de ne pas avoir recours à l’aide sociale. Son employeur, un agriculteur à ********, a indiqué qu'il avait toujours été satisfait de son travail et qu'il est devenu indispensable, vu la taille de son exploitation. Le recourant indique également être bien intégré en Suisse et qu'il parle le français. La bonne intégration professionnelle du recourant ne paraît pas contestée par le SPOP. Cet élément n'est toutefois pas suffisant, vu la jurisprudence restrictive du Tribunal fédéral et du Tribunal administratif fédéral qui considèrent qu'une bonne intégration professionnelle et sociale ne suffit pas encore à admettre un cas individuel d'une extrême gravité (cf. ATF 130 II 39 consid. 3; arrêt TF 2C_754/2018 du 28 janvier 2019 consid. 7.3; ATAF F-3272/2014 du 18 août 2016 consid. 5.3 et les références). Du point de vue personnel et familial, le recourant, âgé de 47 ans, est marié et père de deux enfants de 17 et 20 ans. Sa famille vit au Kosovo. Il dispose dès lors  d’attaches familiales étroites dans son pays d'origine, susceptibles de faciliter sa réintégration sociale. Le recourant admet d'ailleurs qu'il y est retourné à plusieurs reprises pour visiter sa famille. Par ailleurs, le seul fait qu'il subvienne par son emploi en Suisse - exercé sans autorisation - aux besoins de sa famille ne saurait justifier la délivrance d'une autorisation de séjour. Certes, le recourant devra se réintégrer sur le plan professionnel au Kosovo. Il est toutefois encore loin de l'âge de la retraite (47 ans) et rien n'indique qu'il ne pourra pas mettre à profit, au Kosovo, les connaissances et compétences acquises en Suisse dans sa fonction d'employé agricole. Dans ces conditions, la réintégration du recourant dans son pays d'origine n'apparaît pas insurmontable, étant rappelé que selon la jurisprudence, le seul fait que les conditions de vie usuelles dans le pays d'origine soient moins avantageuses que celles prévalant en Suisse ne saurait être considéré comme déterminant sous l'angle de la reconnaissance d'un cas de rigueur (arrêt TF 2C_754/2018 du 28 janvier 2019 consid. 6.3). En définitive, au regard de l'ensemble des circonstances du cas d'espèce, il convient de retenir que l'autorité intimée n'a pas abusé de son pouvoir d'appréciation en considérant que la situation personnelle du recourant ne justifie pas qu'il soit exceptionnellement dérogé aux conditions d'admission (art. 30 al. 1 let. b LEI et art. 31 OASA).</w:t>
      </w:r>
    </w:p>
    <w:p>
      <w:r>
        <w:rPr>
          <w:b/>
        </w:rPr>
        <w:t>E. 3</w:t>
      </w:r>
    </w:p>
    <w:p>
      <w:r>
        <w:t>Les considérants qui précèdent conduisent au rejet du recours et à la confirmation de la décision attaquée. Au vu de l'issue du litige, le recourant doit payer l'émolument judiciaire (art. 49 al. 1, 91 et 99 LPA-VD). Il n'est pas alloué d'indemnité à titre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