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PE.2020.0245 vom 12. Mai 2021</w:t>
      </w:r>
    </w:p>
    <w:p>
      <w:r>
        <w:t>VD Tribunal cantonal, 2021-05-12, FR</w:t>
      </w:r>
    </w:p>
    <w:p>
      <w:r>
        <w:rPr>
          <w:b/>
        </w:rPr>
        <w:t xml:space="preserve">Quelle: </w:t>
      </w:r>
      <w:r>
        <w:t>https://mcp.opencaselaw.ch/entscheid/vd_omni_PE.2020.0245</w:t>
      </w:r>
    </w:p>
    <w:p>
      <w:r>
        <w:t>FR: VD_OMNI PE.2020.0245 du 12 mai 2021</w:t>
      </w:r>
    </w:p>
    <w:p>
      <w:r>
        <w:t>IT: VD_OMNI PE.2020.0245 del 12 maggio 2021</w:t>
      </w:r>
    </w:p>
    <w:p>
      <w:pPr>
        <w:pStyle w:val="Heading2"/>
      </w:pPr>
      <w:r>
        <w:t>Regeste</w:t>
      </w:r>
    </w:p>
    <w:p>
      <w:r>
        <w:t>A.________/Service de la population (SPOP) | Recours contre une décision du SPOP refusant de renouveler l'autorisation de séjour d'un ressortissant gambien obtenue suite à son mariage avec une Suissesse dont il est désormais divorcé et prononçant son renvoi de Suisse. L'union conjugale a duré moins de trois ans et il n'existe pas de raison majeure ayant justifié l'existence de domiciles séparés. La prolongation de l'autorisation de séjour après dissolution de la famille ne se justifie pas non plus pour des raisons personnelles majeures et la réintégration dans le pays de provenance n'est pas fortement compromise. Le recourant étant titulaire d'un permis de séjour espagnol, il appartiendra au SPOP d'examiner la question d'un transfert vers l'Espagne au stade de l'exécution du renvoi, cas échéant en demandant au SEM d'engager une procédure de réadmission bilatérale. Rejet du recours.</w:t>
      </w:r>
    </w:p>
    <w:p>
      <w:pPr>
        <w:pStyle w:val="Heading2"/>
      </w:pPr>
      <w:r>
        <w:t>Erwägungen</w:t>
      </w:r>
    </w:p>
    <w:p>
      <w:r>
        <w:rPr>
          <w:b/>
        </w:rPr>
        <w:t>E. 1</w:t>
      </w:r>
    </w:p>
    <w:p>
      <w:r>
        <w:t>Interjeté en temps utile auprès du Tribunal cantonal contre une décision du SPOP qui n'est pas susceptible de recours devant une autre autorité,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Le litige porte sur le refus de l’autorité intimée de prolonger l’autorisation de séjour du recourant et le renvoi de ce dernier de Suisse. 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de Gambie,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Suite à son mariage avec une Suissesse, le 15 septembre 2017, le recourant a obtenu une autorisation de séjour afin de pouvoir vivre aux côtés de son épouse, conformément à l’art. 42 al. 1 LEI, qui prévoit que le conjoint d’un ressortissant suisse a droit à l’octroi d’une autorisation de séjour et à la prolongation de sa durée de validité à condition de vivre en ménage commun avec lui. Divorcé de son épouse depuis le 24 août 2020, le recourant ne remplit plus les conditions pour la prolongation de son autorisation de séjour pour regroupement familial au sens de cette disposition. Reste à examiner si, comme il le soutient, il pourrait bénéficier d’un tel droit en vertu de l’art. 50 LEI.</w:t>
      </w:r>
    </w:p>
    <w:p>
      <w:r>
        <w:rPr>
          <w:b/>
        </w:rPr>
        <w:t>E. 3</w:t>
      </w:r>
    </w:p>
    <w:p>
      <w:r>
        <w:t>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LEI sont remplis. a) La période minimale de trois ans de l'union conjugale commence à courir dès le début de la cohabitation effective des époux en Suisse et s'achève au moment où ceux-ci cessent de faire ménage commun (ATF 140 II 345 consid. 4.1 p. 348; 138 II 229 consid. 2 p. 231; TF 2C_40/2019 du 25 mai 2020 consid. 3.3.1). La limite des trois ans est absolue et s'applique même s'il ne manque que quelques jours pour atteindre la durée des trente-six mois exigés par l'art. 50 al. 1 let. a LEI (ATF 137 II 345 consid. 3.1.3 p. 347; 136 II 113 consid. 3.2 et 3.4 p. 116 s.; TF 2C_72/2019 du 7 juin 2019 consid. 4.1).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2C_95/2020 du 24 avril 2020 consid. 4.1). En vertu de l'art. 49 LEI, l’exigence du ménage commun prévue à l'art. 42 al. 1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(arrêt TF 2C_603/2019 du 16 décembre 2019 consid. 4.1 et la référence).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(arrêts TF 2C_603/2019 du 16 décembre 2019 consid. 4.1; 2C_525/2019 du 16 septembre 2019 consid. 4.2 in fine et les références; cf. ég. arrêt TF 2C_712/2014 du 12 juin 2015 consid. 2.3, dont il résulte qu'une séparation due à une crise conjugale ne doit pas durer plus de quelques mois). Le fait qu'une reprise de la vie commune ne soit pas exclue n'est pas davantage déterminant dans ce cadre (arrêt TF 2C_1123/2014 du 24 avril 2015 consid. 3.3 in fine et les références). b) En l’espèce, le recourant allègue qu’il aurait été contraint de rester en Espagne en raison de négligences administratives de la part des délégations suisses à Barcelone et à Dakar, qui auraient retardé la célébration du mariage et donc la cohabitation effective des époux en Suisse, laquelle avait été envisagée pour le courant de l’année 2015. Il invoque qu’il y a lieu de tenir compte de ces circonstances particulières puisqu’elles l’empêchent de se prévaloir de trois ans d’union conjugale. Cette argumentation ne convainc pas. En effet, force est de constater que les démarches engagées par le recourant en vue d’obtenir une autorisation d’entrée en Suisse, respectivement de séjour en vue de mariage, n’ont été entreprises qu’en décembre 2016 et non en 2015 (tel que cela ressort des messages électroniques figurant au dossier et de la demande de visa déposée auprès de la délégation suisse à Barcelone) ; elles ont par ailleurs abouti en juillet 2017, soit dans un délai pouvant être qualifié de raisonnable étant donné qu’il est notoire que les étapes liées à la procédure préparatoire du mariage puissent prendre plusieurs mois, notamment si une procédure d’authentification des documents s’avère nécessaire. Partant, il n’existe aucun motif majeur qui justifiait l’existence de domiciles séparés et, conséquemment, une exception à l’exigence du ménage commun de l’art. 42 al. 1 LEI. Le délai de trois ans a ainsi commencé à courir à partir de la date à laquelle le recourant est entré en Suisse pour rejoindre sa future épouse, à savoir le 6 septembre 2017. Aux termes des déclarations concordantes du recourant et de son ex-épouse, la vie commune a duré jusqu'en avril 2018, le recourant n’ayant toutefois quitté le domicile conjugal qu’à fin juin 2018 lorsqu’il s’est trouvé un nouveau logement. Les intéressés n'ont plus vécu ensemble depuis cette période, B.________ ayant par ailleurs noué une relation sentimentale avec un autre homme, le père de son enfant. Il apparaît dès lors que le recourant et son ex-épouse n’ont formé une véritable communauté conjugale qu’entre septembre 2017 et juin 2018 au plus tard, soit une période de moins de trois ans. Il s'ensuit que la première condition posée par l'art. 50 al. 1 let. a LEI n'est pas réalisée. Les conditions posées par cette disposition étant cumulatives, il n’y a dès lors pas lieu d’examiner la question de l'intégration du recourant.</w:t>
      </w:r>
    </w:p>
    <w:p>
      <w:r>
        <w:rPr>
          <w:b/>
        </w:rPr>
        <w:t>E. 4</w:t>
      </w:r>
    </w:p>
    <w:p>
      <w:r>
        <w:t>Il reste à examiner si la poursuite du séjour en Suisse du recourant se justifie sous l’angle de l’art. 50 al. 1 let. b LEI. a) L'art. 50 al. 1 let. b LEI prévoit qu'après la dissolution de la famille, le droit du conjoint et des enfants à l'octroi d'une autorisation de séjour et à la prolongation de sa durée de validité en vertu de l'art. 42 LEI subsiste lorsque la poursuite du séjour en Suisse s’impose pour des raisons personnelles majeures. L’art. 50 al. 2 LEI précise à cet égard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L'art. 50 al. 1 let. b et al. 2 LEI vise à régler les situations qui échappent aux dispositions de l'art.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obstacles économiques ne constituent par exemple pas en soi des raisons personnelles majeures au sens du droit fédéral (cf. ATF 138 II 393 consid. 3.1; TF 2C_693/2019 du 21 janvier 2020 consid. 4.1; TF 2C_725/2019 du 12 septembre 2019 consid. 8.1; TF 2C_583/2019 du 18 juillet 2019 consid. 4.2 et les références citées).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ATF 138 II 229 consid. 3.1; TF 2C_112/2020 du 9 juin 2020 consid. 5.1; TF 2C_213/2019 du 20 septembre 2019 consid. 5.1.1 et les références citées). Le simple fait que l'étranger doive retrouver des conditions de vie qui sont usuelles dans son pays de provenance, ne constitue pas une raison personnelle majeure, même si ces conditions de vie sont moins avantageuses que celles dont cette personne bénéficie en Suisse (arrêt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b) En l'occurrence, le recourant ne prétend pas avoir été victime de violences conjugales ni avoir contracté mariage contre son gré. Il soutient toutefois que sa réintégration en Gambie serait fortement compromise car il vit depuis l’âge de 19 ans hors de son pays d’origine, dans lequel il déclare avoir quelques membres de sa famille mais aucune attache sociale ou culturelle. Le recourant fait également valoir qu’il est au bénéfice d’un contrat de travail à durée indéterminée qui lui permet de subvenir à ses besoins ainsi qu’à ceux de ses proches restés en Gambie. Il ajoute qu’il a tissé des liens socioprofessionnels en Suisse, où il s’est bien intégré, alors qu’en Gambie, il se retrouverait au contraire sans emploi et sans avenir. Il résulte du dossier que le recourant ne séjourne en Suisse que depuis trois ans et demi, ce qui ne constitue pas un séjour de longue durée. Il a vécu toute son enfance et adolescence en Gambie, où sont établis ses parents et d’autres membres de sa famille, tel que cela ressort de ses déclarations (cf. p. 4 du procès-verbal d’audition). Il n’est donc pas déraisonnable d’en inférer que le recourant y aura certainement également conservé des attaches culturelles et sociales, et qu’il pourra compter sur le soutien de ses proches une fois sur place. Ce sentiment est encore renforcé par le fait qu’il est retourné en Gambie à la fin février 2020 et qu’il s’y rendait régulièrement selon les déclarations de son ex-épouse (cf. p. 3 du procès-verbal d’audition), ce qui tend à confirmer son attachement à sa terre natale. Agé de seulement 34 ans, apparemment en bonne santé et sans enfant, le recourant ne devrait dès lors pas être confronté à des difficultés insurmontables de réintégration dans son pays d’origine où il retrouverait les mêmes conditions de vie que celles de tous ses compatriotes qui n'ont pas émigré. Enfin, en faisant état de sa bonne intégration en Suisse, le recourant perd de vue que les raisons personnelles majeures au sens de l'art. 50 al. 1 let. b et al. 2 LEI ont trait notamment au critère de l'intégration fortement compromise dans le pays d'origine, mais ne dépendent pas du degré d'intégration en Suisse de l'étranger, qui n'est pertinent que dans les cas visés par l'art. 50 al. 1 let. a LEI (cf. TF 2C_213/2019 du 20 septembre 2019 consid. 5.2; TF 2C_145/2019 du 24 juin 2019 consid. 3.7 et les références citées). c) En conséquence, c'est à bon droit que l'autorité intimée a considéré que le recourant ne pouvait pas invoquer des raisons personnelles majeures pour en déduire un droit de séjour en Suisse.</w:t>
      </w:r>
    </w:p>
    <w:p>
      <w:r>
        <w:rPr>
          <w:b/>
        </w:rPr>
        <w:t>E. 5</w:t>
      </w:r>
    </w:p>
    <w:p>
      <w:r>
        <w:t>Il sied de relever que le recourant ne remplit pas davantage les conditions du cas de rigueur au sens de l'art. 30 al. 1 let. b LEI, les développements figurant sous le consid. 4b ci-dessus conservant, sous cet angle, toute leur pertinence.</w:t>
      </w:r>
    </w:p>
    <w:p>
      <w:r>
        <w:rPr>
          <w:b/>
        </w:rPr>
        <w:t>E. 6</w:t>
      </w:r>
    </w:p>
    <w:p>
      <w:r>
        <w:t>Par souci d’exhaustivité, on ajoutera que le recourant ne peut se prévaloir du droit au respect de la vie privée et de la vie de famille garanti par l'art. 8 de la Convention du 4 novembre 1950 de sauvegarde des droits de l'homme et des libertés fondamentales (CEDH; RS 0.101)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w:t>
      </w:r>
    </w:p>
    <w:p>
      <w:r>
        <w:rPr>
          <w:b/>
        </w:rPr>
        <w:t>E. 10</w:t>
      </w:r>
    </w:p>
    <w:p>
      <w:r>
        <w:t>octobre 2021), et que celui-ci consente à sa réadmission sur son territoire. Par conséquent, la question du pays de destination et, le cas échéant, du transfert du recourant vers l’Espagne devra être examinée dans le cadre de l’exécution du renvoi. Il incombera ainsi à l’autorité cantonale, à ce stade de la procédure, de demander le soutien de la Confédération en vue de déposer une demande de réadmission auprès des autorités espagnoles en vertu de l’Accord du 17 novembre 2003 entre la Confédération suisse et le Royaume d’Espagne relatif à la réadmission des personnes en situation irrégulière (RSO 0.142.113.329), afin que le recourant puisse être repris en charge par l’Espagne. Une telle procédure relève en effet de la compétence du Secrétariat d’Etat aux Migrations (art. 13 al. 2 de l’ordonnance fédérale du 17 novembre 1999 sur l'organisation du Département fédéral de justice et police [Org DFJP; RS 172.213.1]). 8. Il résulte des considérants qui précèdent que le recours doit être rejeté et la décision attaquée confirmée. Le recourant ayant été mis au bénéfice de l'assistance judiciaire par décision du 20 novembre 2020, les frais judiciaires seront laissés à la charge de l'Etat (art. 122 al. 1 let. b du code de procédure civile du 19 décembre 2008 [CPC; RS 272], applicable par renvoi de l'art. 18 al. 5 LPA-VD). L'avocat qui procède au bénéfice de l'assistance judiciaire dans le canton de Vaud peut prétendre à une rémunération au tarif horaire de 180 francs; l'avocat-stagiaire peut prétendre, quant à lui, à une rémunération au tarif horaire de 110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11 février 2021, l’indemnité de Me Loraine Michaud Champendal est ainsi arrêtée à 1’476 fr. (8h12 x 180 fr.), montant auquel s’ajoutent 73 fr. 80 de débours (1’476 fr. x 5%). Compte tenu de la TVA au taux de 7.7%, l’indemnité totale s’élève ainsi à 1'669 fr. 35, arrondie à 1’670 fr. L'indemnité de conseil d'office ainsi que les frais de justice, en principe à la charge du recourant qui succombe (art. 49 LPA-VD),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(art. 122 al. 1 let. a CPC et 123 al. 1 CPC, applicables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