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PE.2020.0213 vom 21. Juni 2021</w:t>
      </w:r>
    </w:p>
    <w:p>
      <w:r>
        <w:t>VD Tribunal cantonal, 2021-06-21, FR</w:t>
      </w:r>
    </w:p>
    <w:p>
      <w:r>
        <w:rPr>
          <w:b/>
        </w:rPr>
        <w:t xml:space="preserve">Quelle: </w:t>
      </w:r>
      <w:r>
        <w:t>https://mcp.opencaselaw.ch/entscheid/vd_omni_PE.2020.0213</w:t>
      </w:r>
    </w:p>
    <w:p>
      <w:r>
        <w:t>FR: VD_OMNI PE.2020.0213 du 21 juin 2021</w:t>
      </w:r>
    </w:p>
    <w:p>
      <w:r>
        <w:t>IT: VD_OMNI PE.2020.0213 del 21 giugno 2021</w:t>
      </w:r>
    </w:p>
    <w:p>
      <w:pPr>
        <w:pStyle w:val="Heading2"/>
      </w:pPr>
      <w:r>
        <w:t>Regeste</w:t>
      </w:r>
    </w:p>
    <w:p>
      <w:r>
        <w:t>A.________/Service de la population (SPOP) | Cas de rigueur non admis: si elle peut être qualifiée de longue (11 ans), la durée du séjour du recourant doit être sensiblement relativisée, dès lors que l'intéressé ne bénéficie que d'une tolérance depuis un peu plus de 4 ans et qu'il a obtenu son autorisation de séjour initiale pour regroupement familial grâce à un mariage fictif; par ailleurs, son intégration ne sort pas de l'ordinaire; en outre, sa réintégration dans son pays d'origine n'est pas fortement compromise.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reproche au SPOP d'avoir nié l'existence d'un cas de rigueur. a) Aux termes de l'art. 30 al. 1 let. b de la loi fédérale du 16 décembre 2005 sur les étrangers et l'intégration (LEI; RS 142.20), il est possible de déroger aux conditions d'admission (art. 18 à 29) afin notamment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b)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arrêt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PE.2018.0361 précité consid. 4c et les références, PE.2018.0373 précité consid. 2a). c) En l'espèce, le recourant est arrivé en Suisse en novembre 2009. Il y séjourne depuis sans interruption. Ce séjour de plus de onze ans peut être qualifié de longue durée. Il doit néanmoins être relativisé. Le recourant ne bénéficie en effet plus d'autorisation de séjour depuis novembre 2016. Il ne séjourne en Suisse depuis cette date qu'au bénéfice d'une tolérance dans le cadre de la procédure de renouvellement de son autorisation de séjour. On ne saurait par ailleurs occulter le fait que, s'il a obtenu une autorisation de séjour en 2009, c'est en se prévalant abusivement du droit au regroupement familial (cf. dans le même sens, TAF F-2994/2020 du 10 novembre 2020 consid. 5.4), comme le TAF l'a retenu dans son arrêt du 4 septembre 2019 (cf. consid. 7). Dans ces conditions, la durée du séjour en Suisse de l'intéressé, certes longue, ne saurait constituer un élément déterminant pour la reconnaissance d'un cas d'extrême gravité. Il convient dès lors d'examiner si d'autres éléments pourraient justifier une dérogation aux conditions d'admission. Sur le plan de l'intégration, le recourant se prévaut de l'arrêt du TAF du 4 septembre 2019, qui a retenu qu'elle était réussie au sens de l'art. 77 al. 1 let. a OASA (cf. consid. 6). Contrairement à ce qu'il semble croire, le fait de remplir les critères d'intégration fixés par l'art. 58a al. 1 LEI ne suffit toutefois pas à lui seul pour justifier l'admission d'un cas individuel d'une extrême gravité au sens de l'art. 30 al. 1 let. b LEI. Il faut en effet que l'intégration revête un caractère exceptionnel, allant bien au-delà d'un acclimatement ordinaire. Or, tel n'est pas le cas en l'espèce. Certes, le recourant a toujours travaillé depuis son arrivée en Suisse, n'a jamais émargé à l'aide sociale et n'a aucune dette ou actes de défaut de biens. Il dispose par ailleurs d'un niveau de français suffisant pour se débrouiller dans la vie de tous les jours et dans le cadre de son travail. Ces éléments ne sont toutefois pas exceptionnels et ne sauraient justifier à eux seuls une dérogation aux conditions d'admission. L'intéressé n'a en particulier pas acquis en Suisse, en occupant des postes de plongeur puis de garçon d'office, des qualifications ou des connaissances si spécifiques qu'il ne pourrait pas les mettre à profit dans son pays d'origine. Quant au comportement du recourant, on relève qu'il n'a apparemment fait l'objet d'aucune condamnation et qu'il n'a pas de poursuite. On ne saurait toutefois passer sous silence qu'il a commis un abus de droit – en contractant un mariage fictif – afin d'obtenir un titre de séjour, ce qui n'est pas sans dénoter un mépris certain pour l'ordre juridique suisse (cf., dans le même sens, TAF F-2994/2020 précité consid. 5.7). S'agissant enfin de la réintégration du recourant dans son pays d'origine, il convient de noter qu'il a vécu en Ethiopie jusqu'à l'âge de 33 ans. On ne saurait admettre que ces années seraient moins déterminantes pour la formation de la personnalité et partant pour l'intégration socioculturelle que le séjour de l'intéressé en Suisse (cf. TF 2C_196/2014 du 19 mai 2014 consid. 4.2). Il n'est en effet pas concevable que son pays d'origine, dans lequel il est retourné à plusieurs reprises comme le TAF l'a relevé dans son arrêt du 4 septembre 2019 (cf. consid. 7.3.3), lui soit devenu à ce point étranger qu'il ne serait plus en mesure, après une période de réadaptation, d'y retrouver ses repères. Sa femme et leurs deux enfants y résident du reste. Il est certes probable que le recourant se trouvera, de retour au pays, dans une situation économique sensiblement inférieure à ce qu'elle est ici, comme il le soutient; rien ne permet cependant de penser que cette situation serait sans commune mesure avec celle que connaissent leurs compatriotes. Quoi qu'il en soit, l'art. 30 al. 1 let. b LEI n'a pas pour but de soustraire les étrangers aux conditions générales de leur pays d'origine (cf., en particulier, arrêt PE.2018.0168 du 5 juillet 2019 consid. 6b). S'agissant de la situation politique de l'Ethiopie également invoquée par le recourant pour s'opposer à son renvoi, le TAF a rappelé dans un arrêt récent du 18 janvier 2021 (cause E-1902/2020) qu'elle s'était de manière générale grandement apaisée depuis l'entrée en fonction du premier ministre Abiy Ahmed en avril 2018, malgré la persistance de foyers de tension dans certaines régions (cf. consid. 9.2 et 9.3); le pays ne connaissait à tout le moins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ibidem). En définitive, il n'apparaît pas que le recourant, qui est en bonne santé et qui, à 44 ans, n'est pas trop âgé pour qu'une réintégration sur le marché économique ne puisse être envisagée, s'exposerait à des difficultés insurmontables en cas de retour en Ethiopie. Au regard de ces éléments, l'autorité intimée n'a pas violé le droit, ni abusé de son pouvoir d'appréciation en retenant que la situation du recourant, envisagée dans sa globalité,  n'était pas constitutive d'un cas d'extrême gravité au sens de l'art. 30 al. 1 let. b LEI et de la jurisprudence restrictive en la matière.</w:t>
      </w:r>
    </w:p>
    <w:p>
      <w:r>
        <w:rPr>
          <w:b/>
        </w:rPr>
        <w:t>E. 3</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