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PE.2020.0208 vom 21. Oktober 2020</w:t>
      </w:r>
    </w:p>
    <w:p>
      <w:r>
        <w:t>VD Tribunal cantonal, 2020-10-21, FR</w:t>
      </w:r>
    </w:p>
    <w:p>
      <w:r>
        <w:rPr>
          <w:b/>
        </w:rPr>
        <w:t xml:space="preserve">Quelle: </w:t>
      </w:r>
      <w:r>
        <w:t>https://mcp.opencaselaw.ch/entscheid/vd_omni_PE.2020.0208</w:t>
      </w:r>
    </w:p>
    <w:p>
      <w:r>
        <w:t>FR: VD_OMNI PE.2020.0208 du 21 octobre 2020</w:t>
      </w:r>
    </w:p>
    <w:p>
      <w:r>
        <w:t>IT: VD_OMNI PE.2020.0208 del 21 ottobre 2020</w:t>
      </w:r>
    </w:p>
    <w:p>
      <w:pPr>
        <w:pStyle w:val="Heading2"/>
      </w:pPr>
      <w:r>
        <w:t>Regeste</w:t>
      </w:r>
    </w:p>
    <w:p>
      <w:r>
        <w:t>A.________/Service de la population (SPOP) | Recours contre la décision du SPOP déclarant irrecevable une nouvelle demande d'autorisation de séjour pour cas individuel d'extrême gravité déposée par un ressortissant chinois, après que la CDAP et le TF ont confirmé la révocation par le DEIS de son autorisation d'établissement (PE.2019.0081, 2C_1040/2019). Rappel des conditions auxquelles un étranger a droit à ce que sa demande d'autorisation de séjour fasse l'objet d'un nouvel examen lorsqu'une autorité judiciaire a confirmé la révocation d'un précédent titre de séjour. Pas de modification notable des circonstances justifiant d'entrer en matière en l'espèce. Recommandations de l'OFSP de renoncer aux voyages à l'étranger qui ne seraient pas nécessaires, établies en lien avec l'épidémie de Covid-19, pas applicables à l'exécution des décisions en matière de séjour des étrangers. Recours rejeté.</w:t>
      </w:r>
    </w:p>
    <w:p>
      <w:pPr>
        <w:pStyle w:val="Heading2"/>
      </w:pPr>
      <w:r>
        <w:t>Erwägungen</w:t>
      </w:r>
    </w:p>
    <w:p>
      <w:r>
        <w:rPr>
          <w:b/>
        </w:rPr>
        <w:t>E. 1</w:t>
      </w:r>
    </w:p>
    <w:p>
      <w:r>
        <w:t>Déposé auprès de la CDAP dans le délai légal contre une décision du SPOP refusant d'entrer en matière sur sa demande, laquelle n'est pas susceptible de recours devant une autre autorité, le recours, déposé par le destinataire de la décision attaquée qui a un intérêt manifeste à son annulation, répond aux autres exigences formelles prévues par la loi si bien qu'il y a lieu d'entrer en matière (art. 75, 79, 92, 95, 99 LPA-VD).</w:t>
      </w:r>
    </w:p>
    <w:p>
      <w:r>
        <w:rPr>
          <w:b/>
        </w:rPr>
        <w:t>E. 2</w:t>
      </w:r>
    </w:p>
    <w:p>
      <w:r>
        <w:t>Le recourant se prévaut d'une violation de son droit d'être entendu garanti par l'art. 29 al. 1 et 2 Cst. ainsi que d'une violation de l'art. 64 LPA-VD. Il fait en substance grief à l'autorité d'avoir considéré qu'elle n'était tenue d'entrer en matière sur une nouvelle demande d'autorisation de séjour qu'après un délai de 5 ans dès la fin du séjour légal alors que ni l'art. 29 al. 1 et 2 Cst. ni l'art. 64 LPA-VD ne prévoient un tel délai. Il fait également grief à l'autorité intimée d'avoir considéré qu'une nouvelle demande n'est en principe recevable que pour autant que la personne étrangère a satisfait à son obligation de quitter la Suisse. a) La jurisprudence a récemment précisé les conditions auxquelles un étranger avait droit à ce que sa demande d'autorisation de séjour fasse l'objet d'un nouvel examen lorsque, comme en l'espèce, une autorité judiciaire a confirmé la révocation d'une précédent titre de séjour (arrêt PE.2020.0135 du 18 septembre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(Thierry Tanquerel, Manuel de droit administratif, 2 ème édition, 2018, p. 494, n. 1438; Blaise Knapp, Précis de droit administratif, 4 ème édition, n. 1782, p. 374; Pierre Moor/Etienne Poltier, Droit administratif, vol. II: Les actes administratifs et leur contrôle, 3 ème édition, 2011, p. 405). La loi exclut d'ailleurs expressément que des faits postérieurs nouveaux (" vrais nova ")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2C_862/2018 du 15 janvier 2019 consid. 3.1 et les arrêts cités). b) En l'espèce, l'autorisation d'établissement dont bénéficiait le recourant a été définitivement révoquée par l'arrêt du Tribunal fédéral du 9 mars 2020. Le recourant ne fait valoir aucun motif de révision de cet arrêt. Pour le surplus, ni le droit d'être entendu garanti par les art. 29 al. 1 et 2 Cst. ni l'art. 64 Cst-VD ne confèrent au recourant le droit à un nouvel examen indépendamment de l'existence des circonstances nouvelles. Certes, comme le relève le recourant et comme le retient également la décision attaquée, de telles circonstances peuvent exister indépendamment de l'échéance du délai de cinq ans dès la fin du séjour légal. De même, l'obligation d'avoir satisfait à une injonction de quitter la Suisse ne saurait être considérée comme une exigence absolue. Selon la jurisprudence, une obligation d'entrer en matière n'existe toutefois que lorsque les circonstances ont subi une modification notable depuis la dernière décision entrée en force. On doit se montrer d'autant plus exigeant lorsque, comme en l'espèce, une nouvelle demande est déposée peu de temps après l'entrée en force d'une précédente décision. Or, en l'espèce, l'autorité intimée a considéré à juste titre que le recourant ne faisait valoir aucun fait qui constituerait une modification notable des circonstances justifiant d'entrer en matière sur sa demande. Comme le relève la décision attaquée, les faits invoqués par le recourant – soit son intégration professionnelle sur le marché du travail, les efforts accomplis pour s'intégrer socialement et apprendre le français, les regrets exprimés pour l'infraction pénale commise ainsi que l'éloignement avec son pays d'origine – ont été déjà pris en considération par les autorités qui ont statué sur la révocation de son autorisation d'établissement. Dans cette mesure, la nouvelle demande du recourant, déposée moins de cinq mois après l'entrée en force de cet arrêt et alors que le nouveau délai qui lui avait été imparti par le SPOP pour quitter la Suisse arrivait bientôt à échéance, apparaît comme purement dilatoire et destinée uniquement à remettre en cause une décision de justice entrée en force. C'est donc à juste titre que l'autorité intimée n'est pas entrée en matière sur la demande d'autorisation de séjour du recourant. c) Le recourant invoque pour la première fois devant le Tribunal cantonal l'épidémie de Covid-19 comme une modification notable des circonstances. Il fait valoir à cet égard que la recommandation de l'Office fédéral de la santé publique (OFSP) de renoncer aux voyages à l'étranger qui ne seraient pas nécessaires s'appliquerait également à la Chine. Les recommandations qui précèdent, à destination des voyageurs, n'ont pas vocation à s'appliquer à l'exécution des décisions en matière de séjour des étrangers. En ce qui concerne l'application du droit des étrangers, le Secrétariat d'Etat aux migrations (SEM) a adopté une Directive intitulée "Mise en œuvre de l'ordonnance 3 sur les mesures destinées à lutter contre le coronavirus (ordonnance 3 COVID-19) et sur la procédure à l'entrée en Suisse et à la sortie de Suisse". Dans son état au 31 août 2020 (consultée le 12 octobre 2020 sur https://www.sem.admin.ch/sem/fr/home/publiservice/weisungen-kreisschreiben.html), cette Directive prévoit à son ch. 3.3 que les autorités peuvent prolonger au cas par cas en raison de la situation extraordinaire les délais qu'elles fixent. Les autorités doivent à cet égard notamment tenir compte de l'état du trafic aérien. Or, le recourant ne fait pas valoir qu'il n'existerait pas à l'heure actuelle des vols depuis l'espace Schengen lui permettant de retourner en Chine si bien que son renvoi paraît toujours exigible. Quant à l'état de la situation sanitaire sur place, il ne permet pas non plus d'exclure un retour du recourant dans son pays d'origine, pour autant qu'il se soumette cas échéant à une mesure de quarantaine ou à une autre mesure comparable. Le recours s'avère donc également mal fondé sur ce point. d) S'agissant de la proposition au SEM d'une éventuelle admission provisoire du recourant, elle n'a pas été examinée par la décision attaquée si bien qu'elle ne fait pas partie de l'objet du litige. Il appartiendra pour le surplus au SPOP de cas échéant se prononcer lors de l'exécution du renvoi du recourant.</w:t>
      </w:r>
    </w:p>
    <w:p>
      <w:r>
        <w:rPr>
          <w:b/>
        </w:rPr>
        <w:t>E. 3</w:t>
      </w:r>
    </w:p>
    <w:p>
      <w:r>
        <w:t>Manifestement mal fondé, le recours doit être rejeté. Le recourant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