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PE.2020.0196 vom 4. März 2021</w:t>
      </w:r>
    </w:p>
    <w:p>
      <w:r>
        <w:t>VD Tribunal cantonal, 2021-03-04, FR</w:t>
      </w:r>
    </w:p>
    <w:p>
      <w:r>
        <w:rPr>
          <w:b/>
        </w:rPr>
        <w:t xml:space="preserve">Quelle: </w:t>
      </w:r>
      <w:r>
        <w:t>https://mcp.opencaselaw.ch/entscheid/vd_omni_PE.2020.0196</w:t>
      </w:r>
    </w:p>
    <w:p>
      <w:r>
        <w:t>FR: VD_OMNI PE.2020.0196 du 4 mars 2021</w:t>
      </w:r>
    </w:p>
    <w:p>
      <w:r>
        <w:t>IT: VD_OMNI PE.2020.0196 del 4 marzo 2021</w:t>
      </w:r>
    </w:p>
    <w:p>
      <w:pPr>
        <w:pStyle w:val="Heading2"/>
      </w:pPr>
      <w:r>
        <w:t>Regeste</w:t>
      </w:r>
    </w:p>
    <w:p>
      <w:r>
        <w:t>A.________, B.________/Service de l'emploi, Service de la population (SPOP) | Recours d'un employeur et de son employé contre la décision du SDE refusant la prise d'emploi du second auprès du premier. Engagé en qualité de plâtrier, l'employé ne peut être qualifié de spécialiste ou de travailleur qualifié au sens de l'art. 23 LEI. La solution ne serait pas différente si, comme il le soutient, il devait par la suite être engagé en tant que cadre par son employeur, à savoir une société active dans le second-oeuvre. Par ailleurs, l'employeur n'a pas recherché un travailleurs suisse ou ressortissant UE/AELE correspondant au profil souhaité, de sorte qu'il n'a pas respecté l'ordre de priorité de l'art. 21 LEI.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dès lors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litige porte sur la question de savoir si c'est à bon droit que l'autorité intimée a refusé d'accorder une autorisation de séjour avec activité lucrative en faveur d'C.________. Ce dernier est ressortissant d'Etats (Moldavie et Canada) avec lesquels la Suisse n’est liée par aucune convention, de sorte que cette question doit être résolue au regard du droit interne exclusivement, soit la LEI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Cette compétence est attribuée au SDE, vu l’art. 64 let. a de la loi cantonale du 5 juillet 2005 sur l'emploi (LEmp; BLV 822.11). b) En vertu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 cf . arrêts PE.2020.0105 du 19 septembre 2020 consid. 3b; GE.2018.0063 du 12 mars 2019 consid. 3b et la référence citée). Parmi les conditions fixées aux art. 20 à 25 LEI, l'art. 23 al. 1 LEI relatif aux " qualifications personnelles " de la personne étrangère, prévoit que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(Marc Spescha, in : Spescha/Zünd/Bolzli/Hruschka/de Weck, Migrationsrecht Kommentar, 5 e éd., Zurich 2019, p. 131,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C'est ainsi que l'admission sera, en principe, refusée pour des postes ne requérant aucune formation particulière ( cf . TAF C-5184/2014 du 31 mars 2016 consid. 5.4.1). c) Le ch. 4.3.5 des Directives et commentaires, I. Domaine des étrangers (Directives LEI), état au 1 er janvier 2021, du Secrétariat d'Etat aux migrations (SEM) donne les précisions suivantes sur les qualifications personnelles requises par l'art. 23 LEI ( cf . également arrêt PE.2019.0169 du 15 novembre 2019 consid. 3a et les références citées):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 TAF C-5184/2014 précité consid. 5.4.2). Concernant spécifiquement le domaine de la construction, les directives précitées prévoient ce qui suit (ch. 4.7.13.1 et 4.7.13.2): " 4.7.13.1   Généralités L’engagement de main-d’oeuvre étrangère ne relevant pas de l’ordonnance sur la libre circulation des personnes (OLCP, RS 142.203) n’est possible qu’à titre exceptionnel, dans des cas dûment motivés, et pour les activités précisées au ch. 4.7.13.2. […] 4.7.13.1  Spécialistes de la construction Pour des engagements de durée déterminée dans le cadre d’un projet, l’admission de ces spécialistes est possible si l’entreprise apporte la preuve qu’elle a des besoins particuliers et si les spécialistes disposent de la qualification technique requise. La demande doit être accompagnée des documents décrivant le mandat ainsi que du plan de réalisation du projet (cf. arrêt du TAF C-2216/2010 du 12 août 2010, consid. 7.7.). […]" Pour le reste, on précisera que la plâtrerie ne fait pas partie des activités spécifiquement traitées au ch. 4.7.13.2. d)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 cf . arrêts PE.2020.0105 précité consid. 3d; PE.2014.0006 du 1 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 cf . notamment arrêts PE.2015.0253 du 31 août 2015 consid. 1a; PE.2014.0230 du 24 avril 2015 consid. 2a; PE.2014.0483 du 14 avril 2015 consid. 2c).</w:t>
      </w:r>
    </w:p>
    <w:p>
      <w:r>
        <w:rPr>
          <w:b/>
        </w:rPr>
        <w:t>E. 4</w:t>
      </w:r>
    </w:p>
    <w:p>
      <w:r>
        <w:t>a) En l'espèce, l'employé a été engagé en qualité de " plâtrier ", soit un travail dans le domaine de la construction, plus précisément dans le second-œuvre, pour les besoins résultant du démarrage de nouveaux chantiers. Il ne s'agit à l'évidence pas d'une activité pour laquelle un employeur peut, à titre exceptionnel et pour autant qu'il motive dûment sa demande, obtenir une dérogation, conformément au ch. 4.7.13 des Directives LEI précitées. Quoi qu'en pense l'employeur, le fait qu'C.________ dispose par ailleurs de connaissances pratiques étendues dans le domaine de la construction, ainsi que dans la gestion et l'entreprenariat puisqu'il a également travaillé à son compte au Canada, ne modifie pas cette appréciation. S'il n'est pas question de mettre en doute la qualité de sa formation et de son expérience professionnelle, il n'en demeure pas moins qu'elles ne lui confèrent en effet pas la qualité de travailleur très qualifié au sens de l'art. 23 LEI, ni ne font de lui un spécialiste. Ce constat vaut du reste tant pour le poste de plâtrier pour lequel il a été engagé, que pour celui de "cadre" qu'il serait prétendument destiné à obtenir prochainement au sein de l'employeuse. Pour ce motif déjà, l'autorisation sollicitée ne pouvait être délivrée. b) C'est également à raison que l'autorité intimée a considéré que l'ordre de priorité n'avait pas été respecté, ce qui constitue un deuxième motif de refus. En effet, comme exposé ci-dessus, le poste de plâtrier offert, voire de cadre, ne nécessitait pas de qualifications professionnelles particulières et des travailleurs suisses ou des ressortissants de l'UE/AELE étaient en mesure de remplir les critères d'engagement. Il incombait donc à l'employeuse de rechercher des travailleurs sur le marché indigène avant de se tourner vers C.________. Aucune pièce au dossier n'atteste cependant de telles démarches. Quant aux affirmations des recourants, selon lesquelles l'employeuse n'aurait pu conserver les preuves de ses efforts de recrutement en raison de l'espace de stockage que cela aurait impliqué, elles ne sont tout simplement pas crédibles. La parution d'annonces dans des médias physiques ou dématérialisés nécessite une correspondance papier ou électronique pour le moins limitée, dont le stockage n'est guère difficile. Par ailleurs, en sollicitant de l'autorité intimée qu'elle contacte divers ORP pour qu'ils attestent des démarches de recrutement effectuées par l'employeuse, cette dernière méconnaît manifestement que si l'autorité établit certes les faits d'office (art. 28 LPA-VD), les parties n'en sont pas moins tenues de collaborer à la constatation des faits dont elles entendent déduire des droits (art. 30 LPA-VD). Ainsi pouvait-on attendre de l'employeuse – si elle l'estimait nécessaire – qu'elle contacte directement les ORP prétendument approchés lors de son recrutement, afin d'étayer ses dires dans la présente procédure. Elle ne pouvait en revanche affirmer s'être conformée à ses obligations, sans apporter aucun indice en ce sens, ni entreprendre aucune démarche propre à le démontrer. c) Enfin, le raisonnement de l'autorité intimée concernant l'hypothétique investissement financier d'C.________ s'avère tout aussi convaincant et doit également être confirmé sans réserve. D'une part, les recourants se bornent, ici encore, à affirmer qu'un investissement serait prévu, sans fournir aucun élément susceptible de corroborer leurs dires, de sorte qu'il s'agit de conjectures dont il ne peut raisonnablement être tenu compte en l'état. D'autre part, comme l'a pertinemment relevé l'autorité intimée, l'autorisation sollicitée ne pourrait quoi qu'il en soit être octroyée à l'intéressé quel que soit son statut postérieurement à son investissement (indépendant ou dépendant, cf . sur ce point voir arrêt PE.2020.0103 du 17 novembre 2020 consid. 2b). A supposer qu'il revête toujours la qualité de travailleur dépendant, l'appréciation de son dossier du point de vue des qualifications professionnelles exigées ne serait pas différente de celle exposée ci-dessus. A supposer qu'il doive au contraire être qualifié d'indépendant, son admission en vue d'une activité dans la construction ne servirait pas les intérêts économiques du pays au sens de l'art. 19 al. 1 let. a LEI. En effet, selon les Directives LEI,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 arrêt PE.2020.0103 précité consid. 3a/bb; arrêt du Tribunal administratif fédéral [ATAF]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(arrêt PE.2020.0103 précité consid. 3a/bb; Peter Uebersax, in: Code annoté de droit des migrations, vol. II, Berne 2017, n. 11 ad art. 19 LEI; Marc Spescha, in: Migrationsrecht, Kommentar, 5 ème éd., Zurich 2019, n. 1 ad art. zu 19 AIG). En l'occurrence, l'activité présentement litigieuse, savoir la construction, la transformation et la rénovation de bâtiments telle que pratiquée et envisagée par les recourants étant déjà plus qu'abondante sur le marché, elle ne permettrait pas une diversification de l'économie régionale dans la branche concernée. Sous cet angle également, le recours est par conséquent voué à l'échec.</w:t>
      </w:r>
    </w:p>
    <w:p>
      <w:r>
        <w:rPr>
          <w:b/>
        </w:rPr>
        <w:t>E. 5</w:t>
      </w:r>
    </w:p>
    <w:p>
      <w:r>
        <w:t>Il résulte de ce qui précède que le recours, mal fondé, doit être rejeté et la décision attaquée, confirmée. Vu l’issue du recours, un émolument judiciaire sera mis à la charge des recourants, qui succombent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