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PE.2020.0170 vom 21. Oktober 2020</w:t>
      </w:r>
    </w:p>
    <w:p>
      <w:r>
        <w:t>VD Tribunal cantonal, 2020-10-21, FR</w:t>
      </w:r>
    </w:p>
    <w:p>
      <w:r>
        <w:rPr>
          <w:b/>
        </w:rPr>
        <w:t xml:space="preserve">Quelle: </w:t>
      </w:r>
      <w:r>
        <w:t>https://mcp.opencaselaw.ch/entscheid/vd_omni_PE.2020.0170</w:t>
      </w:r>
    </w:p>
    <w:p>
      <w:r>
        <w:t>FR: VD_OMNI PE.2020.0170 du 21 octobre 2020</w:t>
      </w:r>
    </w:p>
    <w:p>
      <w:r>
        <w:t>IT: VD_OMNI PE.2020.0170 del 21 ottobre 2020</w:t>
      </w:r>
    </w:p>
    <w:p>
      <w:pPr>
        <w:pStyle w:val="Heading2"/>
      </w:pPr>
      <w:r>
        <w:t>Regeste</w:t>
      </w:r>
    </w:p>
    <w:p>
      <w:r>
        <w:t>A.________/Service de la population (SPOP), Département de l'économie, de l'innovation et du sport (DEIS) | Recours contre la décision du DEIS déclarant irrecevable la demande de "réexamen" de la révocation de l'autorisation d'établissement d'un ressortissant de l'UE dont la cause avait été tranchée en dernier lieu par le TF. - Rappel de la jurisprudence récente sur la notion de réexamen et de révision. (consid. 3b) - Irrecevabilité des griefs en lien avec l'état de fait déjà tranché par le TF (long séjour en Suisse, regrets vis-à-vis du passé pénal). Le fait nouveau invoqué par le recourant, soit la grossesse de sa compagne suisse, n'est pas de nature à modifier la pesée des intérêts confirmée récemment par le TF, ce d'autant que le couple connaissait la situation précaire du recourant sous l'angle du droit des étrangers lorsqu'ils ont conçu leur enfant. (consid. 3c) Rejet du recours dans la mesure de sa recevabilité. Recours au TF rejeté (2C _959/2020 du 28 décembre 2020).</w:t>
      </w:r>
    </w:p>
    <w:p>
      <w:pPr>
        <w:pStyle w:val="Heading2"/>
      </w:pPr>
      <w:r>
        <w:t>Erwägungen</w:t>
      </w:r>
    </w:p>
    <w:p>
      <w:r>
        <w:rPr>
          <w:b/>
        </w:rPr>
        <w:t>E. 1</w:t>
      </w:r>
    </w:p>
    <w:p>
      <w:r>
        <w:t>Interjeté dans les délais et forme prescrits et transmis à l'autorité compétente par l'autorité intimée, le recours satisfait aux conditions formelles de recevabilité de l’art. 79 LPA-VD, applicable par renvoi de l'art. 99 LPA-VD, de sorte qu'il y a lieu d'entrer en matière sur le recours.</w:t>
      </w:r>
    </w:p>
    <w:p>
      <w:r>
        <w:rPr>
          <w:b/>
        </w:rPr>
        <w:t>E. 2</w:t>
      </w:r>
    </w:p>
    <w:p>
      <w:r>
        <w:t>Le recourant invoque une violation de son droit d'être entendu en raison de la motivation insuffisante de la décision attaquée. a) D’après l'art. 42 al. 1 LPA-VD, la décision contient notamment l'indication des faits, des règles juridiques et des motifs sur lesquels elle s'appuie (let. c). Le droit d’être entendu, garanti par l'art. 29 al. 2 de la Constitution fédérale de la Confédération suisse du 18 avril 1999 (Cst.; RS 101),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l'autorité intimée a indiqué considérer que la naissance future de l'enfant du recourant, s'il s'agissait d'un élément nouveau, ne modifiait pas de manière notable l'état de fait fondant sa décision du 16 octobre 2018 et ne remettait pas en cause l'examen effectué à l'aune des art. 96 LEI et 8 CEDH. L'autorité a rappelé les considérations développées également par les deux autorités de recours à sa précédente décision, selon lesquelles, vu son lourd passé pénal, l'intérêt public à son éloignement l'emportait sur son intérêt privé à rester en Suisse. Ce faisant, le recourant a pu comprendre les motifs qui ont guidé l'autorité à rejeter sa requête et sur lesquels elle a fondé sa décision, à savoir l'absence de modification notable des circonstances, de manière à ce que l'intéressé puisse se rendre compte de la portée de celle-ci et l'attaquer en connaissance de cause. Au demeurant, une éventuelle violation du droit d'être entendu peut être considérée comme étant réparée dès lors que le Tribunal cantonal, qui dispose d'un plein pouvoir d'examen en fait et en droit, examine librement si c'est à juste titre que l'autorité intimée n'est pas entrée en matière sur la demande du recourant. Ce grief doit dès lors être rejeté.</w:t>
      </w:r>
    </w:p>
    <w:p>
      <w:r>
        <w:rPr>
          <w:b/>
        </w:rPr>
        <w:t>E. 3</w:t>
      </w:r>
    </w:p>
    <w:p>
      <w:r>
        <w:t>Le recourant invoque la naissance de son enfant en septembre 2020. Au stade du recours, le recourant invoque également son prochain mariage avec sa compagne suisse. a) Une demande de reconsidération ou de réexamen est une requête adressée à l'autorité qui a rendu une décision en vue d'obtenir la modification ou l'annulation de celle-ci. Indépendamment du fait qu'elle soit intitulée " nouvelle demande " ou " demande de réexamen ",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–une [première] demande d'autorisation déposée auprès d'elles comme une demande de reconsidération, en se référant à la décision négative de l'autorité de police des étrangers d'un autre canton).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La jurisprudence a récemment précisé les conditions auxquelles un étranger avait droit à ce que sa demande d'autorisation de séjour fasse l'objet d'un nouvel examen lorsque, comme en l'espèce, une autorité judiciaire a confirmé la révocation d'une précédente autorisation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 ème édition, 2018, p. 494, n. 1438; Blaise Knapp, Précis de droit administratif, 4 ème édition, n. 1782, p. 374; Pierre Moor/Etienne Poltier, Droit administratif, vol. II: Les actes administratifs et leur contrôle, 3 ème édition,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On doit se montrer d'autant plus exigeant lorsqu'une nouvelle demande est déposée peu de temps après l'entrée en force d'une précédente décision.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et les arrêts cités). Le Tribunal fédéral a récemment considéré que l'arrivée d'un enfant ne modifiait par une récente pesée des intérêts, ce d'autant que les intéressés connaissaient leur situation précaire sous l'angle du droit des étrangers lorsqu'ils ont conçu leur enfant (TF 2C_75/2020 précité consid. 5.3; cf. également PE.2016.0355 du 18 octobre 2016 consid. 2b; PE.2015.0189 du 2 juillet 2015 consid. 1b; cf. aussi PE.2017.0244 du 26 juin 2017 consid. 1c). c) En l'espèce, la décision du DEIS révoquant l'autorisation d'établissement de l'intéressé a fait l'objet d'un recours à la CDAP, laquelle a confirmé cette décision par arrêt du 18 décembre 2019. Le Tribunal fédéral a rejeté le recours de l'intéressé contre cet arrêt (TF 2C_113/2020 du 21 avril 2020). Ainsi, l'autorisation d'établissement dont bénéficiait le recourant a été définitivement révoquée par l'arrêt du Tribunal fédéral du 21 avril 2020. Entre l'arrêt du Tribunal fédéral du 21 avril 2020 et la demande de réexamen déposée le 19 juin 2020, seuls deux mois se sont écoulés. Or, comme l'a relevé l'autorité intimée, la mise en balance des intérêts privés du recourant avec l'intérêt public à révoquer son autorisation d'établissement a déjà fait l'objet d'un examen par le Tribunal fédéral, qui a notamment tenu compte de l'existence de la relation stable avec sa concubine (consid. 6.3). Les arguments du recourant en lien notamment avec son long séjour en Suisse et son attitude vis-à-vis de son passé pénal, qu'il dit ne plus minimiser, sont dès lors irrecevables. On relèvera tout de même que le mariage annoncé du recourant au Portugal laisse penser qu'il entretient encore des liens avec son pays d'origine. De même, l'arrivée de l'enfant du recourant n'est pas de nature à modifier la très récente pesée des intérêts effectuée par le Tribunal fédéral, ce d'autant que le recourant et sa compagne connaissaient la situation précaire du recourant sous l'angle du droit des étrangers lorsqu'ils ont conçu leur enfant. Là encore, ses antécédents pénaux demeurent opposables au recourant en ce sens que, même en cas de mariage avec sa compagne, il ne saurait prétendre à la délivrance d'une autorisation de séjour au titre de regroupement familial, dès lors que les motifs de révocation de son autorisation d'établissement demeurent.</w:t>
      </w:r>
    </w:p>
    <w:p>
      <w:r>
        <w:rPr>
          <w:b/>
        </w:rPr>
        <w:t>E. 4</w:t>
      </w:r>
    </w:p>
    <w:p>
      <w:r>
        <w:t>En définitive, en l'absence de motifs de réexamen, la décision de l'autorité intimée s'avère bien fondée et doit être confirmée. Manifestement dénué de chances de succès, le recours est traité selon la procédure simplifiée de l'art. 82 LPA-VD, sur la base du dossier produit par l’autorité intimée et avec une motivation sommaire. Vu le sort du recours, la demande de restitution de l'effet suspensif au recours n'a plus d'objet. Succombant, le recourant supportera les frais judiciaires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