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PE.2020.0167 vom 18. November 2020</w:t>
      </w:r>
    </w:p>
    <w:p>
      <w:r>
        <w:t>VD Tribunal cantonal, 2020-11-18, FR</w:t>
      </w:r>
    </w:p>
    <w:p>
      <w:r>
        <w:rPr>
          <w:b/>
        </w:rPr>
        <w:t xml:space="preserve">Quelle: </w:t>
      </w:r>
      <w:r>
        <w:t>https://mcp.opencaselaw.ch/entscheid/vd_omni_PE.2020.0167</w:t>
      </w:r>
    </w:p>
    <w:p>
      <w:r>
        <w:t>FR: VD_OMNI PE.2020.0167 du 18 novembre 2020</w:t>
      </w:r>
    </w:p>
    <w:p>
      <w:r>
        <w:t>IT: VD_OMNI PE.2020.0167 del 18 novembre 2020</w:t>
      </w:r>
    </w:p>
    <w:p>
      <w:pPr>
        <w:pStyle w:val="Heading2"/>
      </w:pPr>
      <w:r>
        <w:t>Regeste</w:t>
      </w:r>
    </w:p>
    <w:p>
      <w:r>
        <w:t>A.________ /Service de la population (SPOP) | Confirmation de la décision du SPOP refusant derechef, après un premier refus confirmé par la CDAP, de transformer l'autorisation de séjour du recourant en autorisation d'établissement. Le recourant dispose d'une autorisation de séjour depuis douze ans et fait preuve d'une bonne intégration socio-culturelle. Toutefois, il a fait l'objet de six condamnations pénales ces dix dernières années, à nonante jours-amendes pour la plus grave, sans compter qu'il a encore été condamné une septième fois pour des actes commis trois semaines après sa demande - condamnation cependant contestée à ce jour devant le Tribunal fédéral. Sa situation financière est en outre défavorable. Tout bien pesé, le recourant ne présente pas un degré d'intégration suffisant pour pouvoir prétendre à la délivrance d'une autorisation d'établissement.</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w:t>
      </w:r>
    </w:p>
    <w:p>
      <w:r>
        <w:rPr>
          <w:b/>
        </w:rPr>
        <w:t>E. 2</w:t>
      </w:r>
    </w:p>
    <w:p>
      <w:r>
        <w:t>Le recourant requiert la transformation de son autorisation de séjour en autorisation d'établissement, prétention qui lui a déjà été refusée une première fois par décision du SPOP du 15 juin 2018, confirmée par arrêt de la Cour de céans du 28 novembre 2018. a) La jurisprudence a récemment précisé les conditions auxquelles un étranger avait droit à ce que sa demande d'autorisation de séjour fasse l'objet d'un nouvel examen lorsqu'une autorité judiciaire a déjà statué au fond sur cette question (arrêt PE.2020.0135 du 18 septembre 2020, confirmé par PE.2020.0208 du 21 octobre 2020 consid. 2).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(Thierry Tanquerel, Manuel de droit administratif, 2 ème édition, 2018, p. 494, n. 1438; Blaise Knapp, Précis de droit administratif, 4 ème édition, n. 1782, p. 374; Pierre Moor/Etienne Poltier, Droit administratif, vol. II: Les actes administratifs et leur contrôle, 3 ème édition, 2011, p. 405). La loi exclut d'ailleurs expressément que des faits postérieurs nouveaux (" vrais nova ")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2C_862/2018 du 15 janvier 2019 consid. 3.1 et les arrêts cités). Cette jurisprudence s'applique à l'autorisation d'établissement. b) Dans la décision attaquée, l'autorité intimée refuse derechef au recourant l'octroi d'une autorisation d'établissement, entrant ainsi implicitement en matière sur sa nouvelle demande ou sa demande de réexamen de la première décision de refus du 15 juin 2018, confirmée par arrêt de la Cour de céans du 28 novembre 2018. Or, un peu plus de deux mois seulement se sont écoulés entre l'entrée en force de cet arrêt et la deuxième requête du recourant du 6 mars 2019. La question de savoir si c'est à juste titre que l'autorité intimée a décidé d'entrer en matière sur cette nouvelle demande ou cette demande de réexamen au sens de la jurisprudence précitée souffre néanmoins de rester ouverte, puisque le recours doit de toute façon être rejeté pour les motifs exposés ci-après.</w:t>
      </w:r>
    </w:p>
    <w:p>
      <w:r>
        <w:rPr>
          <w:b/>
        </w:rPr>
        <w:t>E. 3</w:t>
      </w:r>
    </w:p>
    <w:p>
      <w:r>
        <w:t>L'autorité intimée considère que le recourant ne présente pas un degré d'intégration suffisant pour prétendre à une autorisation d'établissement. a) Selon l'art. 34 al. 2 de la loi fédérale du 16 décembre sur les étrangers et l’intégration (LEI; RS 142.20), dans sa teneur au 1 er janvier 2019,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il n'existe aucun motif de révocation au sens des art. 62 ou 63 al. 2 (let. b); l'étranger est intégré (let. c). Rédigé de manière potestative, l'art. 34 LEI, ne confère à l'étranger aucun droit à l'obtention d'une autorisation d'établissement (cf. TF 2C_779/2020 du 23 septembre 2020 consid. 3.1 et l'arrêt cité). L’autorité compétente en matière d’autorisation de séjour dispose ainsi d'un libre pouvoir d'appréciation en la matière, dans l'exercice duquel elle doit néanmoins tenir compte des intérêts publics, de la situation personnelle de l'étranger, ainsi que de son intégration (cf. art. 96 al. 1 LEI). Aux termes de l'art. 58a al. 1 LEI, en vigueur depuis le 1 er janvier 2019,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Selon la jurisprudence constante (voir CDAP PE.2019.0341 du 22 juin 2020 consid. 2b et les références), il n'y a pas d'intégration réussie lorsque l'étranger n'exerce pas d'activité lucrative qui lui permette de couvrir ses besoins et qu'il dépend des prestations sociales pendant une période relativement longue. Il n'est en revanche pas indispensable que l'étranger fasse montre d'une carrière professionnelle requérant des qualifications spécifiques.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Des condamnations pénales mineures n'excluent pas en soi d'emblée la réalisation de l'intégration (cf. TF 2C_154/2018 du 17 septembre 2019 consid. 4.3; TF 2C_725/2019 du 12 septembre 2019 consid. 7.2; CDAP PE.2019.0341 du 22 juin 2020 consid. 2b et les références citées). b) En l'espèce, la question de l'intégration du recourant en Suisse a déjà été examinée de façon circonstanciée par l'autorité de céans dans son arrêt du 28 novembre 2018 (cf. let. A p. 3 supra). Au terme de son analyse, qui conserve ici toute sa pertinence et à laquelle il peut donc être renvoyé, la cour a considéré que le comportement pénalement répréhensible de l'intéressé et sa stabilité professionnelle encore récente ne permettaient pas de lui reconnaître un degré d'intégration suffisant pour lui accorder une autorisation d'établissement. Elle a néanmoins précisé qu'une nouvelle demande pourrait être déposée dans ce sens lorsqu'il aurait fait preuve d'amendement à moyen terme et confirmé sa régularité financière. A l'appui de son recours, le recourant a produit un certain nombre de pièces qui tendent à démontrer que sa situation professionnelle se stabilise progressivement. Il n’en demeure pas moins que le salaire qu'il tire de sa société depuis le mois de mai 2019 est moindre que celui qui lui était versé par son précédent employeur, situation qui n’a pas influé favorablement sur son endettement, puisqu’il comptait 58'480 fr. 35 de poursuites plus 34 actes de défaut de biens pour 27'907 fr. 35 au mois d’avril dernier, soit des sommes relativement importantes. Quoi qu’il en pense, l’intéressé n’établit d’ailleurs pas qu'il entreprendrait des "démarches efficaces" pour y remédier, le seul élément de preuve dont il se prévaut à cet égard (qui date de 2017 et avait déjà été produit lors de la première procédure de recours) indiquant uniquement qu’il avait demandé "des arrangements à certains de ses créanciers". Partant, il est encore trop tôt pour conclure à un assainissement de sa situation financière. Pour ce seul motif déjà, l’intégration du recourant se révèle insuffisante pour justifier l’octroi d’une autorisation d’établissement. A cela s'ajoute que depuis le dernier arrêt de l'autorité de céans, le recourant a été condamné pour la septième fois, par ordonnance pénale du 25 juin 2019, à une peine pécuniaire ferme de 70 jours-amende et à une amende pour conduite en état d'incapacité, non-respect d'une restriction ou condition liée au permis de conduire et conduite sans être porteur du permis de conduire, condamnation qui a été confirmée il y a peu par la Chambre des recours pénale du Tribunal cantonal. Si le Tribunal fédéral, qu’il dit avoir saisi d’un recours, devait aller dans le même sens, cette énième récidive, qui remonte seulement à l’année dernière, desservirait encore davantage sa cause, puisqu’elle confirmerait son incapacité persistante à respecter notre ordre juridique, sans compter que les faits litigieux se sont déroulés le 1 er avril 2019, à savoir trois semaines après sa nouvelle demande de permis d'établissement. En tout état de cause, dans la mesure où les infractions se sont succédées et où la dernière portée au casier judiciaire n’a été commise que trois ans en arrière, il est toujours trop tôt pour se convaincre de l’amendement de l’intéressé. Dans ces circonstances, il sied de constater que le critère de l’intégration posé à l’art. 34 al. 2 let. c LEI n’est toujours pas rempli. Aussi n’est-il pas nécessaire de vérifier si les autres conditions cumulatives de l'art. 34 al. 2 LEI sont réalisées.</w:t>
      </w:r>
    </w:p>
    <w:p>
      <w:r>
        <w:rPr>
          <w:b/>
        </w:rPr>
        <w:t>E. 4</w:t>
      </w:r>
    </w:p>
    <w:p>
      <w:r>
        <w:t>En définitive, le recours, mal fondé, doit être rejeté et la décision attaquée confirmée. Un émolument judiciaire de 600 fr. est mis à la charge du recourant, qui succombe (cf. art. 49 al. 1 LPA-VD; art. 4 al. 1 du tarif vaudois du 28 avril 2015 des frais judiciaires et des dépens en matière administrative [TFJDA; BLV 173.36.5.1]). Il n'y a pas lieu d'allouer d'indemnité à titre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