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PE.2020.0164 vom 7. Juli 2021</w:t>
      </w:r>
    </w:p>
    <w:p>
      <w:r>
        <w:t>VD Tribunal cantonal, 2021-07-07, FR</w:t>
      </w:r>
    </w:p>
    <w:p>
      <w:r>
        <w:rPr>
          <w:b/>
        </w:rPr>
        <w:t xml:space="preserve">Quelle: </w:t>
      </w:r>
      <w:r>
        <w:t>https://mcp.opencaselaw.ch/entscheid/vd_omni_PE.2020.0164</w:t>
      </w:r>
    </w:p>
    <w:p>
      <w:r>
        <w:t>FR: VD_OMNI PE.2020.0164 du 7 juillet 2021</w:t>
      </w:r>
    </w:p>
    <w:p>
      <w:r>
        <w:t>IT: VD_OMNI PE.2020.0164 del 7 luglio 2021</w:t>
      </w:r>
    </w:p>
    <w:p>
      <w:pPr>
        <w:pStyle w:val="Heading2"/>
      </w:pPr>
      <w:r>
        <w:t>Regeste</w:t>
      </w:r>
    </w:p>
    <w:p>
      <w:r>
        <w:t>A.________Service de l'emploi, Service de la population (SPOP) | Recours contre une décision du SDE sommant le recourant de respecter les procédures applicables en cas d'engagement de main-d'oeuvre étrangère, sous menace de rejet des futures demandes d'admission de travailleurs étrangers pour une durée de 1 à 12 mois. Aucun élément ne permet de s'écarter des faits retenus sur le plan pénal ni des premières déclarations du recourant faites alors qu'il en ignorait les conséquences, en particulier que l'absence de rémunération n'est pas un élément déterminant, de sorte qu'il y a lieu de retenir qu'il a employé un ressortissant étranger sans autorisation. Recours rejeté.</w:t>
      </w:r>
    </w:p>
    <w:p>
      <w:pPr>
        <w:pStyle w:val="Heading2"/>
      </w:pPr>
      <w:r>
        <w:t>Erwägungen</w:t>
      </w:r>
    </w:p>
    <w:p>
      <w:r>
        <w:rPr>
          <w:b/>
        </w:rPr>
        <w:t>E. 1</w:t>
      </w:r>
    </w:p>
    <w:p>
      <w:r>
        <w:t>La décision du SDE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si bien qu’il y a lieu d’entrer en matière.</w:t>
      </w:r>
    </w:p>
    <w:p>
      <w:r>
        <w:rPr>
          <w:b/>
        </w:rPr>
        <w:t>E. 2</w:t>
      </w:r>
    </w:p>
    <w:p>
      <w:r>
        <w:t>Le recourant conteste avoir enfreint les dispositions du droit des étrangers. Il soutient que son cousin l’aurait accompagné sur le chantier pour ne pas rester seul mais n’aurait accompli aucune activité. a) Selon l’art. 11 de la loi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LEI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(ATF 141 II 57 consid. 2.1 et les arrêts cités).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L’avertissement prévu à l’art. 122 al. 2 LEI peut être infligé à un employeur dès la première infraction commise (ATF 141 II 57 consid. 7 i.f.). Il en va ainsi même en cas de bonne foi de l'employeur (arrêt CDAP GE.2020.0030, PE.2020.0175 du 2 décembre 2020 consid. 3a et les arrêts cités). Il convient par ailleurs d’accorder un poids prépondérant aux premières déclarations des parties (parmi d’autres arrêts CDAP GE.2019.0176, PE.2019.0299 du 4 mai 2020 consid. 5e; PE.2016.0345 du 28 avril 2017 consid. 5b; GE.2016.0083, PE.2016.0208 du 20 octobre 2016 consid. 2a et l’arrêt cité).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arrêt TF 6B_511/2017 du 16 novembre 2017 consid. 2.1).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V 153 consid. 1.5; 128 IV 170 consid. 4; arrêt TF 6B_511/2017 précité consid. 2.1; parmi d’autres arrêts CDAP GE.2020.0030, PE.2020.0048 du 21 décembre 2020 consid.3c et les arrêts cités; GE.2019.0238, PE.2019.0425 du 19 juin 2020 consid. 4b et les arrêts cités). b) Par ailleurs, selon la jurisprudence, le jugement pénal ne lie en principe pas l'autorité administrative.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119 Ib 158 consid. 3c/bb; arrêt CDAP PE.2019.0114 du 6 mai 2020 consid. 2b/aa).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123 II 97 consid. 3c/aa; 119 Ib 158 consid. 3c/aa). Cela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ne se fonde que sur le rapport de police (ATF 123 II 97 consid. 3c/aa; arrêt CDAP PE.2019.0114 du 6 mai 2020 consid. 2b/aa). c) En l’espèce, selon le rapport relatif au contrôle effectué sur un chantier le 30 novembre 2019, les inspecteurs ont constaté que le recourant et C.________ effectuaient des travaux de finition de crépis sur la façade d’une villa. Le recourant a d’abord déclaré aux inspecteurs que le prénommé l’accompagnait et lui donnait à l’occasion un coup de main pour lui passer une échelle, des outils ou un bidon de crépis, ajoutant qu’il portait des habits de travail pour ne pas se salir. Il a dans un deuxième temps contesté que C.________ travaillait pour lui, exposant qu’il lui donnait un coup de main amical sans être payé. Le recourant soutient désormais que son cousin l’aurait accompagné sur le chantier pour ne pas rester seul et qu’il se serait contenté de l’observer, sans effectuer la moindre activité. Aucun élément ne permet toutefois d’étayer ces allégations, ni ne permet de retenir que les premières déclarations du recourant telles qu’elles ont été retranscrites par les inspecteurs dans leur rapport ne correspondraient pas à la réalité. Ces déclarations, qui ont été faites alors que le recourant en ignorait les conséquences, en particulier le fait que l’absence de rémunération n’est pas un élément déterminant, doivent être privilégiées (cf. consid. 2a supra). Le recourant ayant en particulier indiqué que son cousin était présent sur le chantier pour lui donner un coup de main et qu’il lui avait prêté des vêtements de travail pour qu’il ne se salisse pas, il y a lieu de retenir que C.________ a déployé une activité sur le chantier. A cela s’ajoute que selon l’ordonnance pénale du 10 août 2020, devenue définitive et exécutoire le 18 janvier 2021 suite au retrait par le recourant de son opposition, le Ministère public a retenu les déclarations du recourant selon lesquelles son cousin lui aurait donné un coup de main sans être payé, considérant qu’il s’était rendu coupable d’emploi d’étrangers sans autorisation, ayant occupé un ressortissant serbe sans autorisation de travail le 30 novembre 2019. Or, il n’y a pas lieu de s’écarter des faits retenus sur le plan pénal. Peu importe que, comme il le soutient, le recourant ait retiré son opposition pour éviter des frais. Pour le surplus, le recourant soutient en vain, se référant à une décision du Service national de l’emploi de la République de Serbie, que son cousin ne pouvait pas l’aider pour des raisons de santé. Il résulte en effet de la traduction de ce document que si C.________ n’est pas en mesure d’effectuer un travail physiquement dur, de soulever et de porter des charges et de travailler avec précision, il demeure, sous réserve de ces limitations, capable d’exercer un emploi, de sorte qu’il a tout à fait pu apporter son aide, d’une façon ou d’une autre, au recourant. Quoi qu’il en soit, le document produit ne permet pas de remettre en question les constats des inspecteurs lors du contrôle du 30 novembre 2019, ni les premières déclarations du recourant telles qu’elles figurent dans leur rapport. Au vu des éléments qui précèdent, le SDE était fondée à retenir que le recourant avait employé son cousin, même s’il ne l’a pas rémunéré, alors que celui-ci n’était pas autorisé à travailler. Le recourant n’a ainsi pas respecté son devoir de diligence. Pour sanctionner cette violation, l’autorité a prononcé une sommation, soit la sanction la moins sévère (cf. art 122 al. 2 LEI), si bien que le principe de la proportionnalité a été respecté, ce que le recourant ne remet d’ailleurs pas expressément en cause.</w:t>
      </w:r>
    </w:p>
    <w:p>
      <w:r>
        <w:rPr>
          <w:b/>
        </w:rPr>
        <w:t>E. 3</w:t>
      </w:r>
    </w:p>
    <w:p>
      <w:r>
        <w:t>Il découle des considérants qui précèdent que le recours, mal fondé, doit être rejeté et la décision du SDE du 24 juin 2020 confirmée. Les frais judiciaires, arrêtés à 600 fr. (art. 4 al. 1 du tarif des frais judiciaires et des dépens en matière administrative du 28 avril 2015 [TFJDA; BLV 173.36.5.1]) sont supportés par le recourant qui succombe (art. 49 LPA-VD).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