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PE.2020.0153 vom 25. November 2020</w:t>
      </w:r>
    </w:p>
    <w:p>
      <w:r>
        <w:t>VD Tribunal cantonal, 2020-11-25, FR</w:t>
      </w:r>
    </w:p>
    <w:p>
      <w:r>
        <w:rPr>
          <w:b/>
        </w:rPr>
        <w:t xml:space="preserve">Quelle: </w:t>
      </w:r>
      <w:r>
        <w:t>https://mcp.opencaselaw.ch/entscheid/vd_omni_PE.2020.0153</w:t>
      </w:r>
    </w:p>
    <w:p>
      <w:r>
        <w:t>FR: VD_OMNI PE.2020.0153 du 25 novembre 2020</w:t>
      </w:r>
    </w:p>
    <w:p>
      <w:r>
        <w:t>IT: VD_OMNI PE.2020.0153 del 25 novembre 2020</w:t>
      </w:r>
    </w:p>
    <w:p>
      <w:pPr>
        <w:pStyle w:val="Heading2"/>
      </w:pPr>
      <w:r>
        <w:t>Regeste</w:t>
      </w:r>
    </w:p>
    <w:p>
      <w:r>
        <w:t>A.________/Service de la population (SPOP) | Recours d'une ressortissante japonaise contre le refus du SPOP de lui délivrer une autorisation d'établissement en lieu et place du renouvellement de son autorisation de séjour. Au moment où le SPOP a statué, la recourante ne faisait plus ménage commun avec sa partenaire enregistrée. Dès lors, l'art. 42 al. 3 LEI applicable notamment au conjoint d'un ressortissant suisse ne lui était plus applicable, son statut étant désormais régi par l'art. 50 LEI gouvernant le droit du conjoint à une autorisation de séjour après dissolution de la famille. Au surplus, le délai de cinq ans de ménage commun de l'art. 42 al. 3 LEI, qui ouvre le droit à la délivrance d'une autorisation d'établissement, ne serait quoi qu'il en soit pas atteint (consid. 2). La recourante ne conteste enfin pas le refus du SPOP de lui délivrer une autorisation d'établissement anticipée sur la base de l'art. 34 LEI en raison d'une condamnation pénale (délit) inscrite au casier judiciaire (consid. 3). Rejet du recours.</w:t>
      </w:r>
    </w:p>
    <w:p>
      <w:pPr>
        <w:pStyle w:val="Heading2"/>
      </w:pPr>
      <w:r>
        <w:t>Erwägungen</w:t>
      </w:r>
    </w:p>
    <w:p>
      <w:r>
        <w:rPr>
          <w:b/>
        </w:rPr>
        <w:t>E. 1</w:t>
      </w:r>
    </w:p>
    <w:p>
      <w:r>
        <w:t>Interjeté en temps utile ( cf . art. 95 de la loi vaudoise du 28 octobre 2008 sur la procédure administrative [LPA-VD; BLV 173.36]), le recours satisfait par ailleurs aux autres conditions formelles de recevabilité ( cf . art. 79 al. 1 LPA-VD, applicable par renvoi de l'art. 99 LPA-VD), de sorte qu'il y a lieu d'entrer en matière sur le fond.</w:t>
      </w:r>
    </w:p>
    <w:p>
      <w:r>
        <w:rPr>
          <w:b/>
        </w:rPr>
        <w:t>E. 2</w:t>
      </w:r>
    </w:p>
    <w:p>
      <w:r>
        <w:t>a) Dans son unique grief, la recourante fait valoir qu'elle remplirait les conditions de l'art. 42 al. 3 LEI lui ouvrant le droit à une autorisation d'établissement. b) L'art. 42 LEI, également applicable aux partenaires enregistrés en vertu de l'art. 52 LEI, dispose notamment ce qui suit: " 1 Le conjoint d’un ressortissant suisse ainsi que ses enfants célibataires de moins de 18 ans ont droit à l’octroi d’une autorisation de séjour et à la prolongation de sa durée de validité à condition de vivre en ménage commun avec lui. […]</w:t>
      </w:r>
    </w:p>
    <w:p>
      <w:r>
        <w:rPr>
          <w:b/>
        </w:rPr>
        <w:t>E. 3</w:t>
      </w:r>
    </w:p>
    <w:p>
      <w:r>
        <w:t>Pour le reste, la recourante ne conteste pas le refus de l'autorité intimée de lui octroyer une autorisation d'établissement anticipée sur la base de l'art. 34 LEI, motif pris que son intégration serait insuffisante eu égard à sa condamnation pénale. A cet égard, le tribunal se limitera à constater que l'infraction pénale, certes isolée, n'en est pas moins grave. Il s'agit d'un délit, qui donne lieu à inscription au casier judiciaire de la recourante. Dans ces conditions, le tribunal de céans ne peut revenir sur l'appréciation portée à cet égard par l'autorité intimée. Cette conclusion s'impose d'autant plus que la décision ne viole pas le principe de proportionnalité (art. 96 LEI), étant rappelé que l'autorité intimée a décidé le renouvellement de l'autorisation de séjour de l'intéressée qui pourra ainsi continuer à séjourner dans notre pays, sous réserve de l'approbation du SEM.</w:t>
      </w:r>
    </w:p>
    <w:p>
      <w:r>
        <w:rPr>
          <w:b/>
        </w:rPr>
        <w:t>E. 4</w:t>
      </w:r>
    </w:p>
    <w:p>
      <w:r>
        <w:t>Mal fondé, le recours doit être rejeté et la décision entreprise confirmée. Succombant, la recourante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