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PE.2020.0144 vom 16. März 2021</w:t>
      </w:r>
    </w:p>
    <w:p>
      <w:r>
        <w:t>VD Tribunal cantonal, 2021-03-16, FR</w:t>
      </w:r>
    </w:p>
    <w:p>
      <w:r>
        <w:rPr>
          <w:b/>
        </w:rPr>
        <w:t xml:space="preserve">Quelle: </w:t>
      </w:r>
      <w:r>
        <w:t>https://mcp.opencaselaw.ch/entscheid/vd_omni_PE.2020.0144</w:t>
      </w:r>
    </w:p>
    <w:p>
      <w:r>
        <w:t>FR: VD_OMNI PE.2020.0144 du 16 mars 2021</w:t>
      </w:r>
    </w:p>
    <w:p>
      <w:r>
        <w:t>IT: VD_OMNI PE.2020.0144 del 16 marzo 2021</w:t>
      </w:r>
    </w:p>
    <w:p>
      <w:pPr>
        <w:pStyle w:val="Heading2"/>
      </w:pPr>
      <w:r>
        <w:t>Regeste</w:t>
      </w:r>
    </w:p>
    <w:p>
      <w:r>
        <w:t>A.________/Service de la population (SPOP) | Recours dirigé contre une décision du SPOP déclarant irrecevable une demande de reconsidération d'un refus d'autorisation de séjour, subsidiairement la rejetant. Certes, seuls trois mois se sont écoulés entre l'entrée en force de l'arrêt de la CDAP confirmant le refus d'autorisation de séjour et la demande de réexamen (ou la nouvelle demande), respectivement la reddition de la décision attaquée. Depuis cet arrêt toutefois, le recourant a effectué un séjour désastreux dans son pays d'origine et subi des hospitalisations; il s'est ensuivie une sérieuse dégradation de son état de santé physique et psychique. Ces différents éléments constituent des faits nouveaux importants justifiant l'entrée en matière (c. 2). Sur le fond, l'ensemble des circonstances, spécifiquement l'état de santé du recourant, conduit désormais à lui reconnaître un cas de rigueur (c. 3).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Le recourant requiert le renouvellement de son autorisation de séjour, prétention qui lui a déjà été refusée une première fois par décision du SPOP du</w:t>
      </w:r>
    </w:p>
    <w:p>
      <w:r>
        <w:rPr>
          <w:b/>
        </w:rPr>
        <w:t>E. 3</w:t>
      </w:r>
    </w:p>
    <w:p>
      <w:r>
        <w:t>Le recourant soutient que sa situation est constitutive d’un cas de rigueur. Il plaide également le droit au respect de sa vie privée, compte tenu de son long séjour en Suisse. a) Aux termes de l’art. 20 de l'ordonnance fédérale du 22 mai 2002 sur la libre circulation des personnes entre la Suisse et l’Union européenne et ses États membres, entre la Suisse et le Royaume-Uni, ainsi qu’entre les États membres de l’Association européenne de libre-échange (OLCP; RS 142.203),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(ATF 137 II 345 consid. 3.2.3). Ils se rapportent notamment à l'intégration du requérant sur la base des critères définis à l'art. 58a al. 1 de la loi fédérale du 16 décembre 2005 sur les étrangers et l’intégration (LEI; RS 142.20) – soit le respect de la sécurité et de l'ordre publics, le respect des valeurs de la Constitution, les compétences linguistiques et la participation à la vie économique ou l'acquisition d'une formation – (let. a), à la situation familiale, particulièrement à la période de scolarisation et de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ATF 130 II 39 consid. 3; TAF F-4332/2018 du 20 août 2019 consid. 6; F-6510/2017 du 6 juin 2019 consid. 5; CDAP PE.2018.0139 du 9 septembre 2019 consid. 4a et les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TAF F-2594/2019 du 12 février 2021 consid. 9.9.2; F-1569/2017 du 30 juillet 2019 consid. 13.6.2; CDAP PE.2018.0139 du 9 septembre 2019 consid. 4a et les références citées). b) Dans l'ATF 144 I 266,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TF 2C_132/2021 du 8 février 2021 consid. 3.2; 2C_978/2020 du 8 janvier 2021 consid. 5.1 et les références). c) En l'espèce, le recourant, aujourd’hui âgé de 43 ans, est entré en Suisse le 1 er décembre 2008, après y avoir déjà travaillé comme frontalier depuis l'été 2007. Il y a d’abord séjourné au bénéfice de deux autorisations de courte durée successives puis, dès le mois de janvier 2011, d'une autorisation de séjour de cinq ans valable jusqu'en janvier 2016 et prolongée jusqu'au 17 octobre 2017. Il a donc vécu légalement en Suisse pendant près de neuf ans. Bien que relativement longue, la durée de ce séjour n’atteint pas le seuil de dix ans fixé par la jurisprudence pour pouvoir invoquer de manière soutenable le droit au respect de la vie privée garanti par l'art. 8 CEDH, sauf à bénéficier d'une forte intégration en Suisse. Or, l’arrêt de la Cour de céans du 13 février 2020 a considéré que tel n'était pas le cas (PE.2019.0240 consid. 4b). Il n'en demeure pas moins que depuis les faits qui ont fondé cet arrêt, la situation du recourant a évolué de manière préoccupante. En automne 2020, alors qu’il tentait, au vu de l'arrêt de la CDAP du 13 février 2020 et de la décision du SPOP du 19 juin 2020, de trouver un nouveau logement en France et d’approcher les services sociaux locaux, il s’est retrouvé dans plusieurs situations périlleuses qui ont aggravé sensiblement son état de santé. Premièrement, en raison du confinement, il n’a pas réussi à repasser la frontière alors qu’il présentait une fissure anale surinfectée, qui a donc nécessité une opération urgente en France. A peine deux semaines plus tard, tandis qu’il n’était pas encore rétabli, il a subi de surcroît, dans le cadre de ses recherches d’appartement, une agression sexuelle de la personne qui l’hébergeait. Se sont ensuivies une importante hémorragie et une deuxième prise en charge médicale en urgence. Enfin, pendant sa convalescence, le recourant s’est retrouvé nez à nez avec son père, dont il avait précisément cherché à fuir les tourments, lesquels ont repris de plus belle. La succession de ces événements, tous plus catastrophiques les uns que les autres, a eu de graves répercussions sur l'état de santé physique et psychique déjà fragile de l'intéressé (cf. rapport psychiatrique du 12 janvier 2021). Selon ses médecins en effet, l'abus sexuel a provoqué des saignements pendant plusieurs jours, remplacés par un écoulement purulent puis une inflammation, encore traitée par des doses quotidiennes d'analgésiques un mois après (cf. rapport de proctologie du 22 décembre 2020). Il a laissé des séquelles somatiques et continue d'occasionner des douleurs anales, qui nécessitent encore un suivi rapproché (cf. rapport psychiatrique du 12 janvier 2021). Il a également suscité un sentiment de culpabilité et un retrait social, qui ont empêché le recourant d'expliquer l'origine de ses plaies aux urgentistes français. Ce n'est qu'une fois de retour chez son médecin traitant en Suisse qu'il s'est senti en confiance et qu'il a pu verbaliser les sévices endurés (cf. rapport du 5 janvier 2021). Ceux-ci ont été suffisamment graves pour que le statut de victime LAVI lui soit reconnu. Pareils coups du sort, survenus dans un contexte très sensible, auraient sans nul doute affecté durement n'importe quelle personne bien portante. Ils sont donc d'autant plus désastreux que le recourant souffrait déjà d'un trouble dépressif sévère avec symptômes psychotiques diagnostiqué en 2019 et caractérisé notamment par une phobie sociale, une perte d'appétit, un grave trouble du sommeil et une idéation suicidaire inquiétante, un trouble neurologique et un trouble de la vision, ainsi que de grandes difficultés d'adaptation et de gestion des actes de la vie courante, laissant envisager une curatelle (cf. rapport médical du 4 mai 2020 et bilan de Pro Infirmis du 22 avril 2020). Aussi le recourant présente-t-il aujourd'hui les signes et symptômes clairs d'un syndrome de stress post-traumatique (cf. rapport psychiatrique du 12 janvier 2021). Au bout du compte, ces regrettables expériences nous enseignent surtout que malgré la bonne volonté dont le recourant a fait preuve en essayant de préparer son retour en France, ses démarches l’ont concrètement mises en péril. Il n'a pas pu retourner chez les siens, ni trouver un logement indépendant sans être à nouveau gravement menacé dans son intégrité physique et mentale. Dans ces conditions exceptionnelles, il n'est plus raisonnable d'exiger qu'il retourne vivre dans son pays d'origine. Il sied d'admettre au contraire que le recourant se trouve dans une situation de détresse personnelle constitutive d'un cas de rigueur au sens de l'art. 20 OLCP, qui justifie la poursuite de son séjour en Suisse, où il vit depuis plus de douze ans et où un "suivi rapproché tant somatique que psychiatrique est médicalement indispensable" (cf. rapport du médecin traitant du 5 janvier 2020; voir également l'arrêt de la CDAP PE.2019.0131 du 13 mai 2020).</w:t>
      </w:r>
    </w:p>
    <w:p>
      <w:r>
        <w:rPr>
          <w:b/>
        </w:rPr>
        <w:t>E. 4</w:t>
      </w:r>
    </w:p>
    <w:p>
      <w:r>
        <w:t>En définitive, le recours doit être admis et la décision attaquée annulée. Dès lors que l'octroi d'une autorisation de séjour dans un cas individuel d'une extrême gravité est subordonné à l'approbation du SEM (cf. art. 29 let. b OLCP), il appartiendra au SPOP de soumettre le dossier du recourant à cette autorité. L'attention du recourant est expressément attirée sur le fait que son séjour ne pourra être régularisé que moyennant l'approbation du SEM. Le présent arrêt sera rendu sans frais (cf. art. 49 al. 1 et 52 al. 1 LPA-VD). Le recourant, qui obtient gain de cause avec le concours du CSP, a droit à une indemnité de dépens de 1’000 fr. à la charge de l'autorité intimée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