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PE.2020.0142 vom 5. Januar 2021</w:t>
      </w:r>
    </w:p>
    <w:p>
      <w:r>
        <w:t>VD Tribunal cantonal, 2021-01-05, FR</w:t>
      </w:r>
    </w:p>
    <w:p>
      <w:r>
        <w:rPr>
          <w:b/>
        </w:rPr>
        <w:t xml:space="preserve">Quelle: </w:t>
      </w:r>
      <w:r>
        <w:t>https://mcp.opencaselaw.ch/entscheid/vd_omni_PE.2020.0142</w:t>
      </w:r>
    </w:p>
    <w:p>
      <w:r>
        <w:t>FR: VD_OMNI PE.2020.0142 du 5 janvier 2021</w:t>
      </w:r>
    </w:p>
    <w:p>
      <w:r>
        <w:t>IT: VD_OMNI PE.2020.0142 del 5 gennaio 2021</w:t>
      </w:r>
    </w:p>
    <w:p>
      <w:pPr>
        <w:pStyle w:val="Heading2"/>
      </w:pPr>
      <w:r>
        <w:t>Regeste</w:t>
      </w:r>
    </w:p>
    <w:p>
      <w:r>
        <w:t>A.________/Service de la population (SPOP) | Recours contre le refus de renouveler l'autorisation de séjour d'une ressortissante européenne et son renvoi de Suisse. La recourante a perdu la qualité de travailleuse (art. 6 par. 1 Annexe I ALCP). Son droit de séjour a pris fin, au plus tard, six mois après son départ de la Suisse (art. 61 al. 2 LEI). Elle ne peut pas se prévaloir d'un droit de séjour pour personne sans activité lucrative, étant bénéficiaire de l'aide sociale (art. 24 par. 1 Annexe I ALCP). La durée de son séjour légal en Suisse est inférieure à 10 ans et elle ne peut pas invoquer une intégration sociale et professionnelle réussie, de sorte qu'elle ne peut pas se prévaloir d'un droit de séjour en vertu de l'art. 8 CEDH. Elle ne se trouve pas dans une situation de détresse personnelle et sa réintégration dans son pays d'origine où elle est retournée vivre durant plusieurs années et dans lequel vit sa famille ne pose pas de difficulté particulière (art. 20 OLCP). Elle n'a pas démontré qu'elle remplissait les conditions pour obtenir une autorisation de séjour pour personne exerçant une activité lucrative indépendante; elle n'a en effet pas démontré qu'elle déployait une activité économique effective suffisante pour garantir durablement son existence en Suisse (art. 12 par. 1 Annexe I ALCP).</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La recourante, destinataire de la décision attaquée, a qualité pour recourir (art. 75 let. a LPA-VD). Le recours respecte au surplus les conditions formelles énoncées à l’art. 79 LPA-VD, de sorte qu'il convient d'entrer en matière sur le fond.</w:t>
      </w:r>
    </w:p>
    <w:p>
      <w:r>
        <w:rPr>
          <w:b/>
        </w:rPr>
        <w:t>E. 2</w:t>
      </w:r>
    </w:p>
    <w:p>
      <w:r>
        <w:t>La recourante conteste le refus de lui délivrer une autorisation d'établissement ou une autorisation de séjour, sous quelque forme que ce soit. a) De nationalité estonienne, la recourante peut se prévaloir des droits conférés par l'Accord du 21 juin 1999 entre la Confédération suisse, d'une part, et la Communauté européenne et ses Etats membres, d'autre part, sur la libre circulation des personnes (ALCP; RS 0.142.112.681). L'ALCP a notamment pour objectif d'accorder en faveur des ressortissants des Etats membres, un droit d'entrée, de séjour et d'accès à une activité économique salariée, sur le territoire des parties contractantes (art. 1 let. a ALCP). Ces droits sont garantis conformément aux dispositions arrêtées dans l'annexe I ALCP (cf. art. 3, 4 et 6 ALCP). Selon que le ressortissant exerce ou non une activité lucrative, les dispositions qui s'appliquent et les conditions posées à son droit de séjour sont différentes (cf. en particulier l'art. 4 ALCP renvoyant à l'art. 6 annexe I ALCP et l'art.</w:t>
      </w:r>
    </w:p>
    <w:p>
      <w:r>
        <w:rPr>
          <w:b/>
        </w:rPr>
        <w:t>E. 6</w:t>
      </w:r>
    </w:p>
    <w:p>
      <w:r>
        <w:t>Les considérants qui précèdent conduisent au rejet du recours et à la confirmation de la décision attaquée. La recourante, qui succombe, supportera les frais de justice (art. 49 al. 1 LPA-VD). Il n'y a pas lieu d'allouer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