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PE.2020.0123 vom 23. Oktober 2020</w:t>
      </w:r>
    </w:p>
    <w:p>
      <w:r>
        <w:t>VD Tribunal cantonal, 2020-10-23, FR</w:t>
      </w:r>
    </w:p>
    <w:p>
      <w:r>
        <w:rPr>
          <w:b/>
        </w:rPr>
        <w:t xml:space="preserve">Quelle: </w:t>
      </w:r>
      <w:r>
        <w:t>https://mcp.opencaselaw.ch/entscheid/vd_omni_PE.2020.0123</w:t>
      </w:r>
    </w:p>
    <w:p>
      <w:r>
        <w:t>FR: VD_OMNI PE.2020.0123 du 23 octobre 2020</w:t>
      </w:r>
    </w:p>
    <w:p>
      <w:r>
        <w:t>IT: VD_OMNI PE.2020.0123 del 23 ottobre 2020</w:t>
      </w:r>
    </w:p>
    <w:p>
      <w:pPr>
        <w:pStyle w:val="Heading2"/>
      </w:pPr>
      <w:r>
        <w:t>Regeste</w:t>
      </w:r>
    </w:p>
    <w:p>
      <w:r>
        <w:t>A.________/Service de la population (SPOP) | Révocation de l’autorisation de séjour d’un ressortissant kosovar séparé de son épouse allemande. Plus de droit au regroupement familial: la rupture dure depuis bientôt 2 ans et une reprise de la vie commune est illusoire, si bien que le mariage n'existe plus que formellement. Pas de raisons personnelles majeures de rester en Suisse, un retour au Kosovo étant raisonnablement exigible. Pas de violation du droit au respect de la vie privée: le séjour en Suisse a été principalement illégal et l’intégration n’est pas particulièrement poussée. Rejet du recours. Recours au TF rejeté par arrêt 2C_975/2020 du 2 février 2021.</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Le litige porte sur la révocation de l'autorisation de séjour UE/AELE du recourant, ressortissant kosovar séparé de son épouse allemande.</w:t>
      </w:r>
    </w:p>
    <w:p>
      <w:r>
        <w:rPr>
          <w:b/>
        </w:rPr>
        <w:t>E. 3</w:t>
      </w:r>
    </w:p>
    <w:p>
      <w:r>
        <w:t>Le recourant soutient que la séparation de son couple n'est que provisoire et que son droit au regroupement familial doit dès lors être maintenu, tant du point de vue du droit communautaire que du droit interne. a) La loi fédérale du 16 décembre 2005 sur les étrangers et l'intégration (LEI; RS 142.20) n'est applicable aux membres de la famille des ressortissants des Etats membres de la Communauté européenne que dans la mesure où l’Accord du 21 juin 1999 entre la Confédération suisse, d’une part, et la Communauté européenne et ses Etats membres, d’autre part, sur la libre circulation des personnes (ALCP; RS 0.142.112.681) n'en dispose pas autrement ou lorsque ladite loi prévoit des dispositions plus favorables (art. 2 al. 2 LEI). En droit communautaire, le conjoint d'une personne ressortissant d'une partie contractante ayant un droit de séjour a le droit de s'installer avec elle (art. 7 let. d ALCP et 3 par. 1 et 2 annexe I ALCP). En cas de séparation des époux, il y a cependant abus de droit à invoquer l'art. 3 par. 1 et 2 annexe I ALCP lorsque le lien conjugal est vidé de toute substance et que la demande de regroupement familial vise seulement à obtenir une autorisation de séjour pour l'époux du travailleur communautaire (cf. ATF 144 II 1 consid. 3.1; TF 2C_20/2019 du 13 mai 2019 consid. 5.1; CDAP PE.2019.0303 du 30 avril 2020 consid. 3a et les références citées).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b) En l'espèce, il est constant que le recourant ne fait plus ménage commun avec son épouse depuis le mois de janvier 2019. Quand bien même il est vrai qu'aucune demande de mesures protectrices de l'union conjugale ou demande en divorce n'a encore été déposée à la connaissance du tribunal, l'épouse de l'intéressé a clairement fait savoir, dans ses écrits des 6 août 2019 et 5 janvier 2020, qu'il s'agissait pour elle d'une séparation définitive, qu'une reprise de la vie commune était pour sa part exclue et qu'elle entendait divorcer rapidement. Elle a également annoncé qu'elle avait une nouvelle relation amoureuse depuis l'été 2019 et qu'elle en était très heureuse. A cela s'ajoute que les conjoints ont cosigné le formulaire annonçant à la commune soleuroise qu'ils s'étaient séparés le 5 janvier 2019. Dans ces conditions, il n'est pas possible de considérer, comme le souhaiterait le recourant, que son couple ne connaît qu'une crise passagère. Il convient bien plutôt d'admettre, à l'instar de l'autorité intimée, que cette rupture, qui remonte à bientôt deux ans, est durable et que le mariage n'existe plus que formellement. Partant, le recourant ne peut invoquer la protection de l'art. 3 annexe I ALCP sans commettre un abus de droit. c) En droit interne, l'art. 43 al. 1 LEI prévoit que le conjoint étranger du titulaire d’une autorisation d’établissement a droit à l’octroi d’une autorisation de séjour et à la prolongation de sa durée de validité à la condition, notamment, qu'il vive en ménage commun avec lui (let. a). Selon l'art. 49 LEI, l'exigence du ménage commun prévue à l'art. 43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L'art. 49 LEI ne vise que des situations exceptionnelles. D'une façon générale, un motif apparaît d'autant plus sérieux et digne d'être pris en considération que les époux ne peuvent remédier à leur situation de vie séparée qu'au prix d'un préjudice important. La décision librement consentie des époux de "vivre ensemble séparément" ne constitue pas, à elle seule, une raison majeure au sens de l'art. 49 LEI. Le but de cette disposition n'est en effet pas de permettre aux époux de vivre séparés pendant une longue période; après plus d'un an de séparation sans motifs majeurs, il y a présomption que la communauté conjugale est rompue (cf. TF 2C_603/2019 du 16 décembre 2019 consid. 4.1; TF 2C_525/2019 du 16 septembre 2019 consid. 4.2; voir aussi TF 2C_712/2014 du 12 juin 2015 consid. 2.3, dont il résulte qu'une séparation due à une crise conjugale ne doit pas durer plus de quelques mois). Le fait qu'une reprise de la vie commune ne soit pas exclue n'est pas davantage déterminant dans ce cadre (cf. TF 2C_1123/2014 du 24 avril 2015 consid. 3.3 in fine; CDAP PE.2019.0004 du 8 avril 2020 consid. 4c et les références citées). d) Le recourant allègue qu'il aurait été contraint de quitter provisoirement son épouse à Soleure pour venir travailler dans le canton de Vaud, sans pour autant que leur union conjugale ait pris fin. Cette argumentation ne convainc pas. Comme déjà relevé au considérant 3b ci-dessus, auquel il peut être renvoyé, il appert au contraire que la séparation dure  depuis bientôt deux ans, soit bien plus longtemps que la durée à compter de laquelle il y a lieu de présumer que l'union conjugale est rompue, et qu'une reprise de la vie commune est illusoire, compte tenu du refus rédhibitoire de l'épouse. Celle-ci explique du reste avoir requis la séparation non pas en raison du fait que son conjoint travaillait loin du foyer mais du total désintérêt qu'il lui manifestait. Le recourant n'établit d'ailleurs pas qu'il aurait entrepris des démarches pour trouver un emploi près de Soleure, pas plus qu'il n'affirme avoir pris quelque disposition pour que sa femme et ses beaux-enfants puissent le rejoindre en Suisse romande. N'en déplaise à l'intéressé, il n'existe donc aucun motif majeur qui justifierait l'existence de domiciles séparés et, conséquemment, une exception à l'exigence du ménage commun de l'art. 43 al. 1 LEI. e) Le premier moyen tiré du maintien du lien conjugal se révèle dès lors infondé.</w:t>
      </w:r>
    </w:p>
    <w:p>
      <w:r>
        <w:rPr>
          <w:b/>
        </w:rPr>
        <w:t>E. 4</w:t>
      </w:r>
    </w:p>
    <w:p>
      <w:r>
        <w:t>Le recourant plaide l'existence de raisons personnelles majeures au sens de l'art. 50 al. 1 let. b LEI. a) Aux termes de l'art. 50 al. 1 LEI, après dissolution de la famille, le droit du conjoint à l’octroi d’une autorisation de séjour et à la prolongation de sa durée de validité en vertu de l'art. 43 LEI subsiste dans les cas suivants: l’union conjugale a duré au moins trois ans et les critères d’intégration définis à l’art. 58a LEI sont remplis (let. a), ou la poursuite du séjour en Suisse s’impose pour des raisons personnelles majeures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(al. 2). b) Le recourant ne conteste pas, à juste titre, que son union conjugale a duré moins de trois ans, puisqu'il a quitté son épouse à peine six mois après leur mariage. Seul peut donc entrer en ligne de compte l'art. 50 al. 1 let. b LEI, qui permet au conjoint étranger de demeurer en Suisse après dissolution de la famille pour des raisons personnelles majeures. c) L'art. 50 al. 1 let. b et al. 2 LEI vise à régler les situations qui échappent aux dispositions de l'art. 50 al. 1 let. a LEI.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obstacles économiques ne constituent par exemple pas en soi des raisons personnelles majeures au sens du droit fédéral (cf. ATF 138 II 393 consid. 3.1; TF 2C_693/2019 du 21 janvier 2020 consid. 4.1; TF 2C_725/2019 du 12 septembre 2019 consid. 8.1; TF 2C_583/2019 du 18 juillet 2019 consid. 4.2 et les références citées). S'agissant en particulier de la réintégration sociale dans le pays de provenance,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(cf. ATF 139 II 393 consid. 6; ATF 138 II 229 consid. 3.1; TF 2C_112/2020 du 9 juin 2020 consid. 5.1; TF 2C_213/2019 du 20 septembre 2019 consid. 5.1.1 et les références citées). La jurisprudence considère en outre que les obstacles à l'exécution du renvoi peuvent, dans certaines circonstances, également fonder une raison personnelle majeure au sens de l'art. 50 al. 1 let. b et al. 2 LEI (cf. ATF 137 II 345 consid. 3; TF 2C_213/2019 du 20 septembre 2019 consid. 5.1.2 et les références citées). d) En l'occurrence, le recourant ne prétend pas avoir été victime de violences conjugales ni avoir contracté mariage contre son gré. Il soutient toutefois que sa réintégration au Kosovo serait fortement compromise, puisqu'il se situerait dans une tranche d'âge ne laissant guère d'opportunité d'évoluer professionnellement dans ce pays, où les difficultés économiques et politiques entravent tout développement. Il fait valoir qu'il a toujours subvenu seul à ses besoins et que sa stabilité financière serait mise à néant s'il devait s'en retourner. Il ajoute qu'il aurait tissé d'importants liens socioprofessionnels en Suisse au fil des années et qu'il s'y serait bien intégré, tandis qu'au Kosovo, il se retrouverait au contraire sans emploi, sans logement et sans avenir. Ici encore, les arguments du recourant n'emportent pas la conviction. Il résulte en effet du dossier que l'intéressé a vécu toute son enfance et adolescence au Kosovo, entouré de ses parents et d'une fratrie nombreuse. Il n'est donc pas déraisonnable d'en inférer qu'il y aura certainement conservé des attaches familiales, culturelles et sociales, et qu'il pourra compter sur le soutien de ses proches une fois sur place. Ce sentiment est renforcé par le fait que le recourant est encore retourné très récemment au Kosovo, soit en septembre 2020, ce qui tend en effet à confirmer son attachement à sa terre natale. Agé de seulement 31 ans, en bonne santé et sans enfant, il ne devrait dès lors pas être confronté à des difficultés insurmontables de réintégration dans son pays de provenance, où il a somme toute passé la majeure partie de sa vie et où il retrouverait les mêmes conditions de vie que celles de tous ses compatriotes qui n'ont pas émigré. Enfin, en faisant état de sa bonne intégration en Suisse, le recourant perd de vue que les raisons personnelles majeures au sens de l'art. 50 al. 1 let. b et al. 2 LEI ont trait notamment au critère de l'intégration fortement compromise dans le pays d'origine , mais ne dépendent pas du degré d'intégration en Suisse de l'étranger, qui n'est pertinent que dans les cas visés par l'art. 50 al. 1 let. a LEI (cf. TF 2C_213/2019 du 20 septembre 2019 consid. 5.2; TF 2C_145/2019 du 24 juin 2019 consid. 3.7 et les références citées). e) En conséquence, c'est à bon droit que l'autorité intimée a considéré que l'intéressé ne pouvait pas invoquer des raisons personnelles majeures pour en déduire un droit de séjour en Suisse.</w:t>
      </w:r>
    </w:p>
    <w:p>
      <w:r>
        <w:rPr>
          <w:b/>
        </w:rPr>
        <w:t>E. 5</w:t>
      </w:r>
    </w:p>
    <w:p>
      <w:r>
        <w:t>Le recourant se prévaut enfin du droit au respect de sa vie privée consacré à l'art. 8 de la Convention du 4 novembre 1950 de sauvegarde des droits de l'homme et des libertés fondamentales (CEDH; RS 0.101) pour s'opposer à son renvoi. a) Dans l'ATF 144 I 266, après avoir rappelé la position de la Cour européenne des droits de l'homme sur le droit au respect de la vie familiale et le droit au respect de la vie privée, le Tribunal fédéral a précisé et schématisé sa jurisprudence relative au droit à une autorisation de séjour fondée sur l'art. 8 CEDH. Ce droit dépend fondamentalement de la durée de la résidence en Suisse de l'étranger. Lorsque celui-ci réside légalement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sérieux (cf. TF 2C_668/2018 du 28 février 2020, destiné à la publication, consid. 5.2). L'élément nouveau figurant dans cet arrêt est que le Tribunal fédéral y a fixé le nombre d'années à partir duquel un étranger est présumé bien intégré, c'est-à-dire à partir d'un séjour licite de dix ans, avec pour conséquence qu'il dispose alors, en principe, d'un droit de séjour durable en Suisse sur la base de l'art. 8 CEDH protégeant le respect à la vie privée. Il convient de rappeler ici que cette durée est celle à compter de laquelle une personne bénéficiant d'une autorisation de séjour peut demander une autorisation d'établissement (art. 34 al. 2 let. a LEI), ainsi que la nationalité suisse (art. 9 al. 1 let. b de la loi fédérale du 20 juin 2014 sur la nationalité suisse [LN; RS 141.0]). Avant cet arrêt, le Tribunal fédéral avait toujours renoncé à déterminer un laps de temps à partir duquel l'étranger pouvait tirer un droit de l'art. 8 CEDH. La durée du séjour n'était qu'un élément parmi d'autres à prendre en considération dans l'appréciation globale des circonstances du cas d'espèce à effectuer. Une longue présence et une intégration ordinaire correspondante ne suffisaient pas. Il fallait également que l'étranger soit parvenu à créer des liens professionnels ou sociaux spécialement intenses dépassant ceux qui résultent d'une intégration ordinaire. Dans l'ATF 144 I 266, en précisant et structurant sa jurisprudence, le Tribunal fédéral a jugé qu'un séjour légal d'environ dix ans permettait en principe de se prévaloir de l'art. 8 CEDH, sous l'angle de la vie privée, dès lors qu'une telle durée présuppose, en règle générale, une bonne intégration (cf. TF 2C_668/2018 du 28 février 2020 consid. 5.2 et les arrêts cités). b) En l'espèce, l'intéressé soutient, sans le démontrer, qu'il aurait séjourné en Suisse depuis une quinzaine d'années. Sa présence dans notre pays a toutefois été pour l'essentiel illégale, puisqu'il n'a bénéficié d'une tolérance de séjour que depuis le 3 avril 2018 et que son autorisation de séjour actuelle ne remonte qu'au 13 décembre 2018. Par conséquent, la durée de son séjour licite en Suisse, bien inférieure au seuil tiré de l'ATF 144 I 266 précité, ne peut être considérée comme un élément déterminant dans l'appréciation du cas. Cela étant, lorsque la durée de la résidence est inférieure à dix ans mais que l'étranger fait preuve d'une intégration particulièrement poussée en Suisse, le refus de prolonger ou la révocation de l'autorisation de rester en Suisse peut également porter atteinte au droit au respect de la vie privée (cf. ATF 144 I 266 consid. 3; TF 2C_478/2020 du 10 juin 2020 consid. 3.3 et les références citées). En l'occurrence cependant, le recourant n'a pas hésité à séjourner et travailler illégalement en Suisse pendant plusieurs années, au mépris des décisions de renvoi qui lui avaient été signifiées les 14 novembre 2008 et 8 mars 2016, ce qui trahit un irrespect certain de nos institutions. Ce même constat s'impose lorsque l'on sait que les cinq condamnations pénales qui ont sanctionné ces faits entre 2009 et 2018, cumulant non moins de 510 jours-amende dont 480 fermes, n'y ont strictement rien changé. Pour le reste, le simple fait que le recourant travaille à satisfaction de son employeur, qui n'est autre que son cousin, qu'il parle bien le français, ce que son épouse dément, qu'il ait noué des liens d'amitié en dehors de la communauté albanaise, ce qui reste à établir, et qu'il n'a pas eu recours à l'aide sociale n'a rien d'exceptionnel et n'est donc pas le gage d'une intégration particulièrement réussie en Suisse. c) En pareil cas, l'invocation de l'art. 8 CEDH n'est d'aucun secours au recourant.</w:t>
      </w:r>
    </w:p>
    <w:p>
      <w:r>
        <w:rPr>
          <w:b/>
        </w:rPr>
        <w:t>E. 6</w:t>
      </w:r>
    </w:p>
    <w:p>
      <w:r>
        <w:t>Par souci d'exhaustivité, il sied de relever en dernier lieu que le recourant ne remplit pas davantage les conditions du cas de rigueur au sens de l'art. 30 al. 1 let. b LEI (non évoqué dans le recours), les développements qui précédent conservant, sous cet angle également, toute leur pertinence.</w:t>
      </w:r>
    </w:p>
    <w:p>
      <w:r>
        <w:rPr>
          <w:b/>
        </w:rPr>
        <w:t>E. 7</w:t>
      </w:r>
    </w:p>
    <w:p>
      <w:r>
        <w:t>En définitive, le recours, mal fondé, doit être rejeté et la décision attaquée confirmée. Il appartiendra au SPOP de fixer un nouveau délai de départ au recourant en tenant compte notamment de la situation liée à la pandémie de coronavirus. Un émolument de 600 fr. est mis à la charge du recourant, qui succombe (cf. art. 49 al. 1 LPA-VD; art. 1 et 4 al. 1 du tarif vaudois du 28 avril 2015 des frais judiciaires et des dépens en matière administrative [TFJDA; BLV 173.36.5.1]). Il n'y a pas lieu d'allouer d'indemnité à titre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