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PE.2020.0121 vom 30. November 2020</w:t>
      </w:r>
    </w:p>
    <w:p>
      <w:r>
        <w:t>VD Tribunal cantonal, 2020-11-30, FR</w:t>
      </w:r>
    </w:p>
    <w:p>
      <w:r>
        <w:rPr>
          <w:b/>
        </w:rPr>
        <w:t xml:space="preserve">Quelle: </w:t>
      </w:r>
      <w:r>
        <w:t>https://mcp.opencaselaw.ch/entscheid/vd_omni_PE.2020.0121</w:t>
      </w:r>
    </w:p>
    <w:p>
      <w:r>
        <w:t>FR: VD_OMNI PE.2020.0121 du 30 novembre 2020</w:t>
      </w:r>
    </w:p>
    <w:p>
      <w:r>
        <w:t>IT: VD_OMNI PE.2020.0121 del 30 novembre 2020</w:t>
      </w:r>
    </w:p>
    <w:p>
      <w:pPr>
        <w:pStyle w:val="Heading2"/>
      </w:pPr>
      <w:r>
        <w:t>Regeste</w:t>
      </w:r>
    </w:p>
    <w:p>
      <w:r>
        <w:t>A.________/Service de la population (SPOP) | Rejet du recours contre la décision du SPOP déclarant irrecevable une nouvelle demande de transformation d'un permis F en permis B. Depuis le précédent refus du SPOP, lequel avait été confirmé sur recours par la CDAP, les circonstances ne se sont pas modifiées dans une mesure notable, car la situation financière du recourant reste précaire et largement obérée. L'état de santé de sa concubine n'est pas un élément nouveau déterminant. La seule absence de condamnation pénale pendant quatre ans ne démontre pas une évolution notable de la situation d'intégration du recourant.</w:t>
      </w:r>
    </w:p>
    <w:p>
      <w:pPr>
        <w:pStyle w:val="Heading2"/>
      </w:pPr>
      <w:r>
        <w:t>Erwägungen</w:t>
      </w:r>
    </w:p>
    <w:p>
      <w:r>
        <w:rPr>
          <w:b/>
        </w:rPr>
        <w:t>E. 1</w:t>
      </w:r>
    </w:p>
    <w:p>
      <w:r>
        <w:t>Interjeté dans le délai légal de trente jours suivant la notification de la décision attaquée (art. 95 de la loi vaudoise du 28 octobre 2008 sur la procédure administrative [LPA-VD; BLV 173.36]), le recours a été déposé en temps utile. Il satisfait par ailleurs aux autre conditions formelles de recevabilité ( cf . notamment art. 79 al. 1 LPA-VD, applicable par renvoi de l'art. 99 LPA-VD),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La situation juridique est particulière quand la première décision du SPOP a fait l'objet d'un recours au Tribunal cantonal, le refus du titre de séjour ayant été confirmé par l'autorité judiciaire. Conformément à la jurisprudence (CDAP PE.2020.0135 du 18 septembre 2020; PE.2020.0208 du 21 octobre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Lorsque le requérant invoque des faits nouveaux postérieurs (" vrais nova "; art. 64 al. 2 let. a LPA-VD), il doit donc adresser une demande de réexamen – que l'on peut également qualifier de nouvelle demande d'autorisation dès lors qu'elle porte sur des éléments qui n'ont pas déjà été tranchés par une autorité de recours – à l'autorité de première instance. La loi exclut d'ailleurs expressément que des faits postérieurs nouveaux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Ainsi,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C'est à l'intéressé qu'il incombe d'alléguer les nouveaux éléments et d'établir qu'un réexamen de sa situation se justifie (TF 2C_883/2018 du 21 mars 2019 consid. 4.3). La jurisprudence a retenu qu'un nouvel examen peut généralement intervenir environ cinq ans après la précédente décision de refus, une entrée en matière avant la fin de ce délai n'étant toutefois pas exclue lorsque les circonstances se sont sensiblement modifiées auparavant.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Pour l'autorité administrative,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et les arrêts cités). b) En l'espèce, le recourant a déjà sollicité une autorisation de séjour (transformation de son permis F en permis B) en décembre 2013 et sa demande a été rejetée par une décision de l'autorité intimée du 2 mai 2016, confirmée par un arrêt de la CDAP du 3 octobre 2016, entré en force sans avoir été attaqué. Cet arrêt n'a pas non plus fait l'objet d'une demande de révision. Dans cette situation, l'autorité intimée était tenue de traiter cette nouvelle demande d'autorisation de séjour comme une demande de réexamen ou de reconsidération de sa décision de refus du 2 mai 2016, et d'appliquer d'office les règles rappelées plus haut (cf. PE.2019.0321 du 21 juillet 2020 consid. 3). En d'autres termes, le recourant, au demeurant assisté par un avocat, devait s'attendre à ce que l'entrée en matière soit décidée sur la base des critères de l'art. 64 al. 1 let. a LPA-VD et, à l'évidence, son attention ne devait pas être spécialement attirée par l'autorité sur l'application de ces règles de procédure. Il est manifeste que son droit d'être entendu n'a pas été violé, étant du reste relevé que le SPOP lui a expressément donné la possibilité de démontrer une évolution de sa situation personnelle en requérant la production de diverses pièces. Le grief de violation du principe de la confiance, ou du droit à la protection de la bonne foi, à cause d'une "apparente assurance" donnée par l'autorité intimée qu'elle traiterait différemment la demande, est inconsistant et doit d'emblée être écarté. c) Le dispositif de la décision du SPOP du 20 mai 2020 déclare la demande de reconsidération irrecevable. Il ressort de la motivation de cette décision que l'autorité intimée a considéré que la situation du recourant n'avait pas suffisamment évolué pour justifier un nouvel examen de son cas, dans la mesure notamment où sa situation financière restait largement obérée et que sa dernière condamnation pénale remontait à moins de cinq ans. Il s'agit ainsi en réalité d'un refus d'entrée en matière, sans examen au fond. En pareil cas, la CDAP se limite à déterminer si le refus d'entrer en matière sur la demande de réexamen du recourant est conforme aux règles topiques (PE.2020.0096 du 8 octobre 2020). d) Bien que sommaire, la motivation de cette décision est suffisante pour permettre au recourant de l'apprécier correctement, de sorte qu'elle respecte les exigences posées par les art. 42 al.1 LPA-VD et 29 al. 2 de la Constitution fédérale de la Confédération suisse du 18 avril 1999 (Cst.; RS 101). Au demeurant, même si cette motivation devait être considérée comme insuffisante, une éventuelle violation du droit d'être entendu serait réparée dans la procédure de recours dès lors que le Tribunal cantonal examine librement, avec le même pouvoir d'examen que le SPOP, si c'est à juste titre que la demande de réexamen a été déclarée irrecevable (PE.2020.0135 déjà cité consid.3). e) Dans sa décision du 2 mai 2016, le SPOP a estimé que le recourant faisait preuve d’une intégration insuffisante pour l'obtention d'un permis de séjour (transformation de son permis F en permis B; cf. art. 84 al. 5 LEI dont la teneur n'a pas changé le 1 er janvier 2019 et qui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Le SPOP a en particulier retenu que depuis son arrivée en Suisse, l'intéressé n'avait exercé des activités lucratives que par intermittence et qu'il n'avait été financièrement autonome que pendant six ans au cours de ces 13 dernières années. Le SPOP a également relevé que le comportement de l'intéressé n'avait pas été exemplaire; il avait notamment été condamné par ordonnance pénale du Ministère public central du 9 mars 2016 pour escroquerie à 30 jours-amende avec sursis pendant deux ans. Le recourant fait valoir que les circonstances se seraient modifiées dans une mesure notable après la première décision du SPOP et le premier arrêt de la CDAP, dans la mesure où sa situation professionnelle s'est améliorée et qu'il assainit ses dettes depuis quatre ans. Il ajoute que sa dernière condamnation pénale remonte à 2016 et que le délai d'épreuve de deux ans est échu. La seule question que le Tribunal doit résoudre in casu est de savoir si c’est à juste titre ou non que l’autorité intimée a retenu que les conditions d’un réexamen n’étaient pas réunies. En l'occurrence, s'il est vrai que le recourant a travaillé régulièrement depuis 2016 et qu'il est au bénéfice d'un contrat de travail de durée indéterminée depuis le 1 er janvier 2019, ce qui lui permet d'assurer son indépendance financière, il n'en demeure pas moins que sa situation financière reste précaire, dans la mesure où il a conclu ce contrat de travail il y a moins de deux ans (PE.2018.0395 du 4 mars 2019 consid. 4b) et que son parcours professionnel montre que jusqu'à cet engagement, il n'a jamais gardé un emploi à long terme. A cela s'ajoute que même si le recourant a entrepris de rembourser ses dettes en versant 200 francs par mois depuis début 2019, il ressort des derniers extraits des registres des poursuites, de juin 2020, que le montant des actes de défaut de biens reste élevé (plusieurs dizaines de milliers de francs). Dans ces conditions, et malgré les efforts de la part du recourant pour assainir ses dettes, le SPOP pouvait retenir que sa situation financière n'avait pas évolué sensiblement, demeurant largement obérée (PE.2017.0131 du 28 novembre 2017 consid. 3b où il est rappelé qu'il est tenu compte de la situation financière de la personne qui demande une autorisation de séjour sur la base de l'art. 84 al. 5 LEI, notamment des poursuites et actes de défaut de biens, pour apprécier son intégration). Partant, l'appréciation de l'autorité intimée au sujet de cet élément pertinent n'est pas critiquable. Le recourant n'a non plus établi, ni devant le SPOP ni dans ses écritures adressées à la CDAP que sa situation personnelle ou familiale aurait sensiblement changé. L'état de santé de sa concubine avait déjà donné lieu, avant 2016, à la reconnaissance de son invalidité; s'il est fait état de problèmes aigus récents, il n'est pas expliqué en quoi cela constituerait un élément nouveau déterminant – étant relevé que le refus du réexamen n'implique pas, pour le recourant, une obligation de quitter le territoire suisse, ni a fortiori d'abandonner sa compagne. Enfin, la seule absence de condamnation pénale pendant quatre ans ne démontre pas une évolution notable de la situation d'intégration du recourant. C’est par conséquent à juste titre que le SPOP a déclaré irrecevable la demande du recourant. Il n'est au demeurant pas nécessaire d'examiner la portée du rejet de la demande, prononcé à titre subsidiaire. Il importe en définitive peu que le SPOP, lorsqu'il refuse d'entrer en matière sur la base de l'art. 64 al. 2 let. a LPA-VD, déclare la demande de réexamen irrecevable ou qu'il la rejette, dès lors qu'il résulte clairement des motifs que la décision r.ulte d'une absence de modification notable des faits déterminants.</w:t>
      </w:r>
    </w:p>
    <w:p>
      <w:r>
        <w:rPr>
          <w:b/>
        </w:rPr>
        <w:t>E. 3</w:t>
      </w:r>
    </w:p>
    <w:p>
      <w:r>
        <w:t>Il résulte des considérants qui précèdent que le recours doit être rejeté et la décision attaquée confirmée. Le recourant ayant été mis au bénéfice de l'assistance judiciaire par décision du 26 juin 2020, les frais judiciaires seront laissés à la charge de l'Etat (art. 122 al. 1 let. b du Code de procédure civile du 19 décembre 2008 [CPC; RS 272], applicable par renvoi de l'art. 18 al. 5 LPA-VD). L'avocat qui procède au bénéfice de l'assistance judiciaire peut prétendre à une rémunération au tarif horaire de 180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19 novembre 2020, l’indemnité de Me Charles Fragnière est ainsi arrêtée à 2'142 francs (11.90 x 180 francs), montant auquel s'ajoutent 107 francs de débours (2'142 x 5%). Compte tenu de la TVA au taux de 7,7%, soit 173 francs, l’indemnité totale s'élève ainsi à 2'422 francs. L'indemnité du conseil d'office est supportée provisoirement par le canton (cf. art. 122 al. 1 let. a CPC), le recourant étant rendu attentif au fait qu'il est tenu de rembourser le montant ainsi avancé dès qu'il est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 Vu l'issue du litige,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