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PE.2020.0103 vom 17. November 2020</w:t>
      </w:r>
    </w:p>
    <w:p>
      <w:r>
        <w:t>VD Tribunal cantonal, 2020-11-17, FR</w:t>
      </w:r>
    </w:p>
    <w:p>
      <w:r>
        <w:rPr>
          <w:b/>
        </w:rPr>
        <w:t xml:space="preserve">Quelle: </w:t>
      </w:r>
      <w:r>
        <w:t>https://mcp.opencaselaw.ch/entscheid/vd_omni_PE.2020.0103</w:t>
      </w:r>
    </w:p>
    <w:p>
      <w:r>
        <w:t>FR: VD_OMNI PE.2020.0103 du 17 novembre 2020</w:t>
      </w:r>
    </w:p>
    <w:p>
      <w:r>
        <w:t>IT: VD_OMNI PE.2020.0103 del 17 novembre 2020</w:t>
      </w:r>
    </w:p>
    <w:p>
      <w:pPr>
        <w:pStyle w:val="Heading2"/>
      </w:pPr>
      <w:r>
        <w:t>Regeste</w:t>
      </w:r>
    </w:p>
    <w:p>
      <w:r>
        <w:t>A.________/Service de l'emploi Contrôle du marché du travail, Service de la population (SPOP) | Demande en vue de l’exercice d’une activité salariée formée par un ressortissant tunisien domicilié en France, qui détient la moitié des parts de la société qui l'emploie, dont il est en outre associé gérant; l'autorité intimée a traité sa demande, sans l'en informer au préalable, comme une autorisation en vue de l’exercice d’une activité lucrative indépendante. La question du respect du droit d'être entendu peut demeurer indécise, puisque le recourant ne se plaint pas de sa violation. En outre, la décision attaquée se fonde sur le fait que l'admission du recourant ne sert pas les intérêts économiques du pays, condition qui doit être remplie pour l'exercice d'une activité tant salariée qu'indépendante; à cet égard, il n'y a donc pas eu de violation du droit d'être entendu. La société dont le recourant est associé-gérant exploite plusieurs pizzerias et livre des pizzas à domicile et le recourant se prévaut du chiffre d'affaires déjà réalisé; dans la mesure où l'offre en la matière est déjà bien étoffée, l'intérêt économique du pays à accueillir l’activité indépendante du recourant n’est pas démontré. Par surabondance de moyens, le sort du recours ne serait pas différent si l’on devait considérer le statut du recourant comme étant celui d’un travailleur salarié; la société n'a effectué aucune recherche préalable pour pourvoir le poste au sein du marché local et le recourant ne peut être considéré comme un travailleur qualifié. Confirmation du refus de l'autorité intimée de délivrer l'autorisation de séjour et de travail requise.</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A titre préliminaire,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OASA,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SDE,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état au 1 er avril 2020, ch. 4.6.1). Selon l'art. 1a de l'ordonnance fédérale du 24 octobre 2007 relative à l’admission, au séjour et à l’exercice d’une activité lucrative (OASA; RS 142.201),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b) En l’occurrence, C.________ et le recourant ont saisi l’autorité intimée d’une demande en vue de l’exercice d’une activité lucrative qui, au vu des indications y figurant (prise d’emploi, contrat de travail), doit être considérée comme ayant trait à l’exercice d’une activité lucrative salariée. Il est vrai que le recourant a été engagé par C.________, par contrat de travail, mais il détient la moitié des parts de cette société dont il est en outre associé gérant. L’autorité intimée a par conséquent traité sa demande, à laquelle le contrat de travail du 22 février 2020 était annexé, comme une autorisation en vue de l’exercice d’une activité lucrative indépendante. Bien que cette question ne soit pas soulevée par le recours, on rappelle que la nature juridique de la relation entre un membre du conseil d'administration et la société anonyme (de même que celle entre un associé gérant porteur de parts et la Sàrl) fait l'objet de controverses; elle présente un double aspect, relevant à la fois du droit des sociétés et du droit contractuel (v. notamment arrêt PE.2007.0084 du 5 juillet 2007, références citées). En l’occurrence, le double statut du recourant, à la fois travailleur et organe de la société, doit être examiné et qualifié sur la base des circonstances concrètes. Dans la mesure où l'organe supérieur est dans un rapport de subordination et qu'il reçoit des instructions (par exemple du conseil d'administration pour une société anonyme), et à condition que l'activité soit exercée à titre principal, il y a lieu de reconnaître l'existence d'un contrat de travail. En revanche, on ne saurait en aucun cas retenir un rapport de travail entre l'administrateur ou le dirigeant d'une entreprise et cette même entreprise lorsqu'il y a identité économique entre la personne morale et celui qui assume la fonction d'organe dirigeant de cette société. De même, l’existence d’un contrat de travail a été niée entre une personne qui était l’un des deux administrateurs et actionnaires (à hauteur de 49%) d’une société et la société en question, au motif que l’actionnaire majoritaire n’exerçait pas sur lui un pouvoir de contrôle et de direction (v. sur ce point, Rémy Wyler/Boris Heinzer, Droit du travail, 4 ème édition, Berne 2019, pp. 40/41, références citées). En l'occurrence, le recourant est l'un des deux propriétaires économiques de C.________. Comme il n'est pas actionnaire et administrateur unique, il n'y a sans doute pas identité économique entre la société et le recourant, laquelle aurait exclu d'emblée tout lien de subordination (v. arrêt du Tribunal fédéral 4A_500/2018 du 11 avril 2019 consid. 4.1). Toutefois, le recourant détient cent des deux cents parts de cette société. Son associé co-détenteur des parts sociales ne détient par conséquent aucun pouvoir hiérarchique sur lui (cf. plus particulièrement sur cette question et ses conséquences, arrêt 4A_10/2017 du 19 juillet 2017 consid. 3.1, références jurisprudentielles citées), quand bien même, avec 50% des parts et une voix prépondérante en vertu de sa qualité de président de l’assemblée des créanciers (cf. art. 808a CO), ce dernier dispose d’un pouvoir décisionnel plus important que le recourant. En outre, en présence de deux associés seulement, les rapports internes entre ceux-ci sont manifestement étroits, ceci d’autant plus que, dans le cas d’espèce, le recourant et B.________ se sont également associés par la suite dans D.________, dont ils détiennent chacun 50% des actions. Ainsi, l’activité de la société trouve essentiellement son fondement dans l’activité du recourant, co-fondateur. A cela s’ajoute qu’en disposant de la signature individuelle, le recourant a toujours le pouvoir de représenter et d’engager seul la société vis-à-vis de tiers. Du reste, c’est bien le recourant lui-même et non C.________ qui a recouru, ce qui démontre le défaut de lien de subordination en la présente espèce (cf. art. 11 al. 3 LEI; v. sur ce point, arrêt PE.2017.0410 du 25 janvier 2018). Par conséquent, c’est à juste titre que l’autorité intimée a assimilé le recourant à une personne exerçant une activité lucrative à titre indépendant (v. dans ce sens, arrêt PE.2018.0047 du 12 novembre 2018). c) L’autorité intimée a ainsi considéré que la demande de permis en faveur du recourant avait trait à l’exercice d’une activité indépendante. Suivant en cela sa pratique dans les situations similaires, elle n’a pas informé le recourant de ce qui précède avant de statuer (v., outre arrêt PE.2018.0047 déjà cité, arrêt PE.2017.0450 du 5 mars 2018; v. également, mais dans le sens inverse, soit une demande d’exercer une activité indépendante traitée comme activité salariée, arrêt PE.2018.0087 du 19 novembre 2018). On peut se demander si cette façon de procéder tient suffisamment compte du droit d'être entendu des intéressés. Selon la jurisprudence du Tribunal fédéral (ATF 145 I 167 consid. 4.1 p. 171 et les références),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de sorte que l'autorité n'a généralement pas à soumettre par avance aux parties, pour prise de position, le raisonnement qu'elle entend tenir. Le Tribunal fédéral a toutefois réservé le cas où l'autorité envisage de fonder sa décision sur une norme ou un motif juridique non évoqué dans la procédure antérieure et dont aucune des parties en présence ne s'est prévalue et ne pouvait supputer la pertinence. En l'occurrence, la question du respect du droit d'être entendu peut demeurer indécise, puisque le recourant ne se plaint pas de sa violation. Au contraire, l’argumentation qu’il développe tend à critiquer le refus par l’autorité intimée de lui délivrer une autorisation d’exercer une activité indépendante. En outre, la  décision attaquée se fonde sur le fait que l'admission du recourant ne sert pas les "intérêts économiques du pays ", condition qui doit être remplie pour l'exercice d'une activité tant salariée (cf. art. 18 let. a LEI) qu'indépendante (cf. art. 19 let. a LEI). A cet égard, il n'y a donc pas eu de violation du droit d'être entendu. Cela étant, la qualification de l'activité lucrative du recourant peut, à la limite, demeurer indécise (dans ce sens, cf. arrêt PE.2018.0087 du 19 novembre 2018). Par conséquent, les deux hypothèses seront successivement examinées dans les considérants qui suivent.</w:t>
      </w:r>
    </w:p>
    <w:p>
      <w:r>
        <w:rPr>
          <w:b/>
        </w:rPr>
        <w:t>E. 3</w:t>
      </w:r>
    </w:p>
    <w:p>
      <w:r>
        <w:t>a) Les personnes provenant d’Etats tiers, à l’image du recourant, ne peuvent se prévaloir d’un droit d’exercer une activité indépendante que si elles sont titulaires d’une autorisation d’établissement (cf. art. 38 al. 4 LEI), ou si elles sont le conjoint de ce titulaire ou le conjoint de citoyennes ou citoyens suisses (cf. Directives SEM, ch. 4.7.2.1). Les autres cas de figure sont soumis à un examen des conditions relatives au marché du travail selon l’art. 19 LEI.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 Code annoté de droit des migrations, vol. II, Nguyen/Amarelle [éds], Berne 2017, n. 3 ad art. 19 LEI avec renvoi à n. 10 ad art. 18 LEI; Marc Spescha, in : Migrationsrecht, Kommentar, Spescha/Zünd/Bolzli/Hruschka/de Weck [éds], 5 ème éd., Zurich 2019, n. 2 ad Vorbemerkungen zu Art. 18-26 AIG).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110 pour le canton de Vaud en 2020).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bb) La notion d'" intérêts économiques du pays " est formulée de façon ouverte; elle concerne au premier chef le domaine du marché du travail (cf. Message du Conseil fédéral du 8 mars 2002 concernant la loi sur les étrangers, FF 2002 3469, p. 3485 et 3536). D'après les Directives du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cf. ég. arrêt du Tribunal administratif fédéral [ATAF]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LEI; Spescha, op. cit., n. 1 ad art. 19 AIG). cc)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SEM, ch. 4.7.2.3; voir aussi ch. 4.8.11 relatif aux annexes à joindre à la demande). b) En la présente espèce, le recourant, qui n’est titulaire d’aucune autorisation de séjour, envisage d’exercer une activité indépendante au travers d’une société, C.________, qui a son siège dans le canton. C’est par conséquent à juste titre que sa demande a été examinée par l’autorité intimée à l’aune de l’art. 19 LEI. aa) Or, le recourant est associé dans deux établissements publics de restauration rapide qui confectionnent des mets, principalement des pizzas, pour la consommation sur place ou à l’emporter. Sans doute, il fait état de ce que le premier des deux restaurants exploités par la société aurait généré un chiffre d’affaires de plus de 450'000 fr. en 2019. Ce succès aurait convaincu les deux associés d’ouvrir un second restaurant, qui en six mois aurait généré plus de 150'000 fr. de chiffre d’affaires. Ceci étant, cette affirmation n’est nullement étayée, les comptes de la société n’ayant pas été produits. Or, on rappelle à cet égard que l’art. 90 LEI impose à l’étranger participant à une procédure prévue par la présente loi de collaborer à la constatation des faits déterminants pour son application et, en particulier, de fournir des indications exactes et complètes sur les éléments déterminants pour la réglementation du séjour (let. a), ainsi que, sans retard les moyens de preuves nécessaires ou s’efforcer de se les procurer dans un délai raisonnable (let. c). Le site de l’Etat de Vaud contient sur ce point toutes les informations nécessaires et rappelle que doivent être fournis à l’appui d’une demande de permis de séjour avec exercice d’une activité lucrative indépendante notamment les documents suivants: business plan; budget prévisionnel; curriculum vitae; copie des diplômes (https://www.vd.ch/themes/population/population-etrangere/entree-et-sejour/etats-tiers/prise-dune-activite-independante/). Pour ce seul motif, faute d’indication plus précise et de documentation sur le chiffre d’affaires, les investissements et le bénéfice escomptés, sans même parler des perspectives à court et à moyen termes de l’entreprise, conditions qui résultent de l’art. 19 let. b LEI, l’autorité intimée ne pouvait pas accueillir favorablement la demande du recourant. bb) Quoi qu’il en soit, cette question pourrait demeurer indécise, dans la mesure où l'intérêt économique du pays à accueillir l’activité indépendante du recourant n’est de toute façon pas démontré. Le moins que l’on puisse dire est que le canton de Vaud et en particulier la région lausannoise comptent déjà de nombreux établissements proposant la même carte et offrant rigoureusement les mêmes prestations de restauration que C.________. L’offre en la matière est déjà largement étoffée, ce qui conduit à une forte concurrence entre les établissements publics qui se voient souvent contraints de fermer. Partant, il y a lieu de considérer que l'activité envisagée servira les intérêts particuliers du recourant et de son associé plutôt que l'intérêt économique suisse. Le recourant et son associé ont, certes, constitué une autre société, D.________, afin d’ouvrir une chaîne de restaurants franchisés, qui proposeront à leur clientèle les prestations offertes par C.________. Le même constat s’impose cependant. Le moins que l’on puisse dire est qu’il y a actuellement pléthore d’établissements de ce type dans le canton et la région lausannoise; le peu qu’en dit le recourant dans ses écritures ne permet pas de cerner en quoi les prestations offertes par cette nouvelle société se distingueraient de celles que d’autres restaurants proposent déjà à l’heure actuelle. L'arrivée sur le marché suisse de nouvelles pizzerias ne peut donc pas être considérée comme une activité à valeur ajoutée répondant à un intérêt public important, quand bien même C.________ aurait généré, comme le recourant l’indique, un chiffre d’affaires de plus de 450'000 fr. durant l’année 2019. A fortiori, il en va de même de la création par D.________ de nouveaux restaurants franchisés qui proposent les prestations de C.________. Dès lors, on doit retenir, avec l’autorité intimée, que ces nouvelles entreprises ne contribueront guère à la diversification de l’économie régionale dans la branche concernée et ne présentent pas un intérêt économique particulier pour le canton de Vaud, ni pour la Suisse en général (cf. aussi arrêts PE.2020.0110 du 4 août 2020 consid. 3b; PE.2018.0122 du 15 novembre 2018 consid. 4d; PE.2017.0450 du 5 mars 2018 consid. 4c; PE.2015.0335 du 30 novembre 2015 consid. 2c). La condition de l’art. 19 let. a LEI n’est donc pas remplie. cc) Par conséquent, on ne saurait dire que l’autorité intimée ait abusé de sa liberté d’appréciation en estimant que le recourant n'avait pas établi que son activité engendrerait des retombées positives durables pour l'économie suisse et celle du canton de Vaud en particulier.</w:t>
      </w:r>
    </w:p>
    <w:p>
      <w:r>
        <w:rPr>
          <w:b/>
        </w:rPr>
        <w:t>E. 4</w:t>
      </w:r>
    </w:p>
    <w:p>
      <w:r>
        <w:t>C.________ et le recourant ont requis la délivrance d’une autorisation de séjour avec activité lucrative en faveur du second. Or, ce dernier ne fait pas grief à l’autorité intimée d’avoir finalement traité cette demande comme tendant à l’exercice d’une activité lucrative indépendante (cf. consid. 2c ci-dessus). Ceci étant, on observe, par surabondance de moyens, que le sort du recours ne serait pas différent si l’on devait considérer le statut du recourant comme étant celui d’un travailleur salarié, comme on va le voir à présent. a)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2 ème éd., Zurich 2015, p. 115; Uebersax, op. cit., n. 25 ad art. 18 LEtr). Selon les Directives du SEM,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(ATAF C-5912/2011 du 25 août 2015 consid. 8.3; C-4989/2011 du 23 janvier 2013 consid. 4.3.1; C-8717/2010 du 8 juillet 2011 consid. 6.3). Concernant les efforts de recherche de l’employeur dans le cadre de l’art. 21 LEI, les directives du SEM prévoient en particulier ce qui suit (ch. 4.3.2.2, références citées):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Ces règles correspondent à ce que prévoyaient les art. 7 et 8 de l’ordonnance fédérale du 6 octobre 1986 limitant le nombre des étrangers (OLE), abrogée avec effet au 1 er janvier 2008. A cela s’ajoute que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SEM, ch. 4.3.3).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Sur ce point, il a été jugé par la CDAP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Dans l’arrêt PE.2017.0084 précité, la CDAP a jugé que la rémunération contractuellement servie à l’intéressé, 5'000 fr. brut par mois, ne correspondait pas à la rétribution d’une personne hautement spécialisée; en outre, l'employeur n’avait pas établi qu’il y ait actuellement pénurie de travailleurs en Suisse dans le génie civil, de telle sorte que l’engagement de l'intéressé soit absolument indispensable d’un point de vue économique. b) En l’occurrence, C.________ et le recourant ont conclu le 22 février 2020 un contrat de travail de durée indéterminée, aux termes duquel ce dernier est employé en qualité de gérant d’établissement pour un salaire mensuel brut de 4'895 fr.65, y compris les frais. Or, plusieurs motifs dirimants s’opposent à ce qu’une autorisation de séjour en vue d’exercer une activité lucrative salariée soit délivrée en faveur du recourant. aa) On constate tout d’abord que le dossier de la cause ne contient aucune recherche de la part de C.________ en vue de pourvoir le poste actuellement occupé par le recourant au sein du marché local du travail. La demande de permis de séjour avec prise d’emploi doit cependant être accompagnée d’une lettre de motivation de l’employeur avec preuves de recherches sur le marché de l'emploi suisse et européen (v. https://www.vd.ch/themes/population/population-etrangere/entree-et-sejour/etats-tiers/prise-dune-activite-salariee/). Or, en l’espèce, aucune annonce du poste vacant auprès de l’Office régional du placement compétent n’a été faite, ni de publication d’une offre dans la presse locale. Le recourant ne se prévaut à cet égard d’aucun effort de recherche, effectué conformément à l’art. 21 al. 1 LEI, par son employeur (cf. s’agissant des efforts que doit entreprendre un employeur dans le secteur de l’hôtellerie et de la restauration, arrêts PE.2019.0166 du 28 février 2020; PE.2018.0193 du 16 novembre 2018; PE.2015.0366 du 25 janvier 2016). bb) Sans doute, le recourant parle le français, mais il ne se prévaut d’aucun diplôme professionnel, ni d’une formation professionnelle spéciale, assortie de plusieurs années d’expérience. Par conséquent, il ne saurait être considéré comme un travailleur qualifié au sens où l’entend l’art. 23 al. 1 LEI. La question de savoir si cet emploi pourrait être admis en dérogation au sens où l’entend l’art. 23 al. 3 let. c LEI ne se pose pas davantage. Le poste de gérant d’établissement ne requiert en effet guère de connaissances ou de capacités professionnelles particulières. Dès lors, C.________ était en mesure de se procurer sur le marché du travail local, sans grande difficulté, des employés susceptibles d’occuper le poste du recourant. cc) Il n’y a pas lieu d’examiner les autres motifs exposés par le recourant, ceux-ci n’étant de toute façon pas déterminants pour la délivrance d’une autorisation de travail en Suisse. Il appert ainsi que l’autorité intimée n’a pas abusé de son pouvoir d’appréciation en refusant de donner une suite positive à la demande dont elle a été saisie en la présente espèce.</w:t>
      </w:r>
    </w:p>
    <w:p>
      <w:r>
        <w:rPr>
          <w:b/>
        </w:rPr>
        <w:t>E. 5</w:t>
      </w:r>
    </w:p>
    <w:p>
      <w:r>
        <w:t>Les considérants qui précèdent conduisent au rejet du recours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