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PE.2020.0067 vom 7. Januar 2021</w:t>
      </w:r>
    </w:p>
    <w:p>
      <w:r>
        <w:t>VD Tribunal cantonal, 2021-01-07, FR</w:t>
      </w:r>
    </w:p>
    <w:p>
      <w:r>
        <w:rPr>
          <w:b/>
        </w:rPr>
        <w:t xml:space="preserve">Quelle: </w:t>
      </w:r>
      <w:r>
        <w:t>https://mcp.opencaselaw.ch/entscheid/vd_omni_PE.2020.0067</w:t>
      </w:r>
    </w:p>
    <w:p>
      <w:r>
        <w:t>FR: VD_OMNI PE.2020.0067 du 7 janvier 2021</w:t>
      </w:r>
    </w:p>
    <w:p>
      <w:r>
        <w:t>IT: VD_OMNI PE.2020.0067 del 7 gennaio 2021</w:t>
      </w:r>
    </w:p>
    <w:p>
      <w:pPr>
        <w:pStyle w:val="Heading2"/>
      </w:pPr>
      <w:r>
        <w:t>Regeste</w:t>
      </w:r>
    </w:p>
    <w:p>
      <w:r>
        <w:t>A.________/Service de la population (SPOP) | Recourante ressortissante britannique de 65 ans, arrivée en Suisse en 2014, qui n'a jamais acquis le statut de travailleur et ne saurait bénéficier du droit de demeurer. Bien que le Royaume-Uni dispose de structures médicales à même de prendre en charge les affections psychiques sévères dont souffre la recourante, le tribunal retient qu'un retour forcé de celle-ci dans son pays serait de nature à mettre concrètement et sérieusement en danger sa santé psychique, d'autant plus qu'elle n'a pas de famille ni, apparemment, de réseau social dans son pays dont elle été éloignée pendant plusieurs années. Admission du recours en présence d'un cas de rigueur et délivrance d'une autorisation de séjour UE/AELE.</w:t>
      </w:r>
    </w:p>
    <w:p>
      <w:pPr>
        <w:pStyle w:val="Heading2"/>
      </w:pPr>
      <w:r>
        <w:t>Erwägungen</w:t>
      </w:r>
    </w:p>
    <w:p>
      <w:r>
        <w:rPr>
          <w:b/>
        </w:rPr>
        <w:t>E. 1</w:t>
      </w:r>
    </w:p>
    <w:p>
      <w:r>
        <w:t>La décision attaquée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le Tribunal ne voit pas quels éléments d'appréciation utile pourrait apporter l'audition de la recourante. Pour ce qui est des problèmes de santé qui sont allégués, le tribunal peut notamment se fonder sur les nombreux certificats médicaux figurant au dossier. Il n'y a également pas lieu de donner suite à la requête tendant à la production des dossiers de l'ORP et du CSR. Pour les raisons mentionnées ci-dessous, la question de savoir si la recourante s'est retrouvé de manière involontaire sans emploi et la question de savoir si elle a répondu aux exigences de l'ORP, notamment en ce qui concerne les recherches d'emploi, ne sont en effet pas déterminantes.</w:t>
      </w:r>
    </w:p>
    <w:p>
      <w:r>
        <w:rPr>
          <w:b/>
        </w:rPr>
        <w:t>E. 3</w:t>
      </w:r>
    </w:p>
    <w:p>
      <w:r>
        <w:t>La recourante invoque une violation de son droit d'être entendu au motif que la motivation de la décision attaquée serait insuffisante. a) Tel que garanti par l'art. 29 al. 2 Cst., le droit d'être entendu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certes succincte, la motivation de la décision entreprise devait néanmoins permettre à la recourante de saisir les motifs ayant mené l'autorité intimée à refuser le renouvellement ou l'octroi d'une autorisation de séjour. L'intéressée était ainsi en mesure d'apprécier la portée de la décision attaquée et de la contester en connaissance de cause, ce qu'elle a d'ailleurs fait. La motivation de la décision attaquée apparaît ainsi suffisante au regard des exigences déduites du droit d'être entendu. On relèvera que, même à supposer avérée, une violation du droit d'être entendu devrait de toute manière être tenue pour guérie en l'espèce dès lors que le tribunal de céans statue ici avec un pouvoir d’examen en fait et en droit.</w:t>
      </w:r>
    </w:p>
    <w:p>
      <w:r>
        <w:rPr>
          <w:b/>
        </w:rPr>
        <w:t>E. 4</w:t>
      </w:r>
    </w:p>
    <w:p>
      <w:r>
        <w:t>La recourante invoque le droit de demeurer consacré à l'art. 4 Annexe I ALCP pour prétendre, en sa qualité de ressortissante britannique, à l'octroi d'une autorisation de séjour à ce titre.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la recourante est une ressortissante du Royaume-Uni. Selon un communiqué du Département fédéral des affaires étrangères du 31 janvier 2020, l'ALCP reste, durant la période dite de transition (qui s'étendra à tout le moins jusqu'au 31 décembre 2020), applicable aux ressortissants du Royaume-Uni établis en Suisse. A l'issue de cette période devrait entrer en vigueur l'Accord entre la Confédération suisse et le Royaume-Uni de Grande-Bretagne et d'Irlande du Nord relatif aux droits des citoyens à la suite du retrait du Royaume-Uni de l'Union européenne et de la fin de l'applicabilité de l'Accord sur la libre circulation des personnes, dont le Conseil fédéral a adopté le Message le 6 décembre 2019 et transmis le texte au Parlement pour approbation. b)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Selon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La loi fédérale du 16 décembre 2005 sur les étrangers et l'intégration (LEI; RS 142.20), qui règle notamment l'entrée en Suisse et la sortie de Suisse, le séjour des étrangers et le regroupement familial (art. 1 er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 c) aa) Aux termes de l'art. 4 par. 1 de l'annexe I ALCP, les ressortissants d'une partie contractante et les membres de leur famille ont le droit de demeurer sur le territoire d'une autre partie contractante après la fin de leur activité économique. Pour plus de détails, l’art. 4 annexe I ALCP renvoie expressément, à son par. 2, au règlement CEE 1251/70 du 29 juin 1970 (concernant les travailleurs salariés) et à la directive 75/34/CEE du 17 décembre 1974 (concernant les indépendants, respectivement les personnes ayant exercées une activité non salariée). Conformément à l'art. 2 par. 1 première phrase let. a du règlement CEE 1251/70, le travailleur qui, au moment où il cesse son activité, a atteint l'âge prévu par la législation de cet Etat pour faire valoir des droits à une pension de vieillesse et qui a occupé un emploi pendant les 12 derniers mois au moins et y a résidé d'une façon continue depuis plus de trois ans, a le droit de demeurer à titre permanent sur le territoire de cet Etat. Cette disposition ne concerne pas uniquement les travailleurs qui restent actifs jusqu'à l'âge de la retraite prévu à l'art. 21 de la loi fédérale du 20 décembre 1946 sur l'assurance-vieillesse et survivants (LAVS; RS 831.10) pour la rente de vieillesse (actuellement 64 ans révolus pour les femmes et 65 ans révolus pour les hommes); elle s'applique aussi aux personnes qui font valoir un droit à une rente anticipée selon l'art. 40 LAVS une année avant la date prévue à l'art. 21 LAVS et ainsi dès le moment où ils peuvent bénéficier de cette rente. Ni l'art. 2 par. 1 première phrase let. a du règlement CEE 1251/70 ni aucune autre disposition de ce règlement ne procèdent à une distinction entre rente ordinaire ou rente anticipée. Dite disposition se contente d'exiger à ce sujet l'atteinte de l'âge prévu pour faire valoir " des droits " à une pension de vieillesse. Et le droit suisse perçoit la rente anticipée selon l'art. 40 LAVS, introduite au 1 er janvier 1997 avec la 10 e révision de l'AVS (RO 1996 2466), non pas comme une prestation autre qu'une rente vieillesse. Au contraire, il s'agit de la réalisation du cas d'assurance vieillesse, avec comme conséquence une certaine réduction du montant de la rente compte tenu de l'octroi anticipé (cf. Michel Valtério, Droit de l'assurance-vieillesse et survivants et l'assurance-invalidité, Zurich 2011, n. 1104 p. 304). Selon l'art. 4 par. 2 du règlement CEE 1251/70, les périodes de chômage involontaire, dûment constatées par le bureau de main-d'œuvre compétent, et les absences pour cause de maladie ou accident sont considérées comme périodes d'emploi au sens de l'art. 2 par. 1 du règlement. bb) Selon l'art. 22 OLCP, les ressortissants de la CE, de l'AELE ou les membres de leur famille qui ont le droit de demeurer en Suisse selon l'accord sur la libre circulation des personnes ou selon la Convention instituant l'AELE, reçoivent une autorisation de séjour CE/AELE. Les directives OLCP du SEM, dans leur version d'avril 2020, retiennent à leur ch. 10.3 pour l'essentiel ce qui vient d'être exposé au sujet du droit de demeurer. Concernant l'art. 2 par. 1 première phrase let. a du règlement CEE 1251/70, le droit de demeurer d'un travailleur UE/AELE suppose que soient réunies les conditions suivantes (ch. 10.3.2 des directives OLCP): " […] au moment où il cesse son activité, il a atteint l'âge permettant de faire valoir - selon la législation suisse - un droit à la retraite, il a séjourné en Suisse en permanence durant les trois années précédentes et y a exercé une activité lucrative durant les douze derniers mois au moins (ces trois conditions doivent être remplies cumulativement). [...] L'interruption de l'activité lucrative suite à une maladie, à un accident ou à une période de chômage involontaire dûment constatée par l'autorité compétente, et l'interruption involontaire de l'activité s'agissant d'un indépendant, sont considérées comme des périodes d'activité". Selon le ch. 10.3.4 des Directives OLCP, les ressortissants UE/AELE et les membres de leur famille, quelle que soit leur nationalité, qui peuvent faire valoir un droit de demeurer sont autorisés à poursuivre leur séjour sur la base de ce statut et reçoivent une autorisation de séjour UE/AELE en qualité d'actifs ou de non actifs. Le droit de demeurer constitue une garantie spéciale par rapport au droit de séjour des personnes n'exerçant pas d'activité économique fondé sur les art. 6 ALCP et 24 Annexe I ALCP. A la différence de ce dernier droit de séjour, le droit de demeurer ne peut cependant être invoqué que si la personne concernée bénéficiait antérieurement du statut de travailleur salarié (cf. arrêt TF 2C_761/2015 consid. 3.1). d) Dans le cas particulier, il convient de déterminer si, depuis son arrivée en Suisse le 30 mars 2014, la recourante a acquis la qualité de travailleuse, respectivement si elle a conservé ce statut jusqu'au 1 er novembre 2017, date à laquelle elle a commencé à percevoir une rente AVS anticipée. aa) Pour bénéficier de la protection des droits des travailleurs selon l'art. 6 al. 6 annexe I ALCP, il faut, selon l'art. 6 par. 1 annexe I ALCP, que le recourant ait exercé " un emploi d'une durée égale ou supérieure à un an au service d'un employeur de l'Etat d'accueil ". Pour juger du statut de travailleur, le critère déterminant est celui de l’intégration au marché du travail (Christine Kaddous/Diane Grisel, Libre circulation des personnes et des services, Bâle 2012,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PE.2016.0217 du 8 novembre 2017 consid. 3b,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(cf. arrêt PE.2013.0478 du 4 août 2014 consid. 2). bb) En l'espèce, il résulte des pièces du dossier que, après son arrivée en Suisse au mois de mars 2014, la recourante a d'abord travaillé pour RPS Research Switzerland GmbH d'avril à juillet 2014. Elle a ensuite travaillé pour la société Jones Lang Lasalle Services Sàrl du mois de février au mois de juin 2015. Elle a enfin travaillé pour la société Gist advisory Switzerland aux mois de juin et juillet 2015. Il résulte de ce qui précède que la recourante n'a pas occupé en Suisse un emploi d'une durée égale ou supérieure à un an ni occupé plusieurs emplois consécutifs d'une durée totale égale ou supérieure. Partant, elle n'a jamais acquis le statut de travailleur. Dans ces circonstances, elle ne saurait bénéficier du droit de demeurer dès lors qu'elle ne remplit notamment pas la condition selon laquelle elle doit avoir exercé une activité lucrative durant les douze derniers mois avant sa retraite.</w:t>
      </w:r>
    </w:p>
    <w:p>
      <w:r>
        <w:rPr>
          <w:b/>
        </w:rPr>
        <w:t>E. 5</w:t>
      </w:r>
    </w:p>
    <w:p>
      <w:r>
        <w:t>A titre subsidiaire, la recourante demande qu'une autorisation de séjour UE/AELE lui soit délivrée pour des motifs importants au sens de l'art. 20 OLCP. a) Aux termes de l'art. 20 OLCP, si les conditions d'admission sans activité lucrative ne sont pas remplies au sens de l'ALCP ou de la Convention instituant l'AELE, une autorisation de séjour UE/AELE peut être délivrée lorsque des motifs importants l'exigent. L'art. 20 OLCP doit être interprété par analogie avec les art. 13 let. f et 36 de l’ancienne ordonnance du 6 octobre 1986 limitant le nombre des étrangers (aOLE) remplacée dès le 1 er janvier 2008 par l’art. 31 de l'ordonnance du 24 octobre 2007 relative à l'admission, au séjour et à l'exercice d'une activité lucrative (OASA; RS 142.201; PE.2019.0176 du 24 octobre 2019 consid. 4a; PE.2018.0495 du 29 avril 2019 consid. 4a). D'après l'art. 31 al. 1 OASA, une autorisation de séjour peut être octroyée dans les cas individuels d'extrême gravité. Lors de l'appréciation, il convient de tenir compte notamment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et les arrêts cités).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TF 2C_721/2010 du 8 mars 2011 consid. 2.1, 2C_759/2010 du 28 janvier 2011 consid. 5.2.1 in fine). Des motifs médicaux peuvent, suivant les circonstances (cf. art. 31 al. 1 let. f OASA),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(cf. TAF F-3883/2016 du 15 novembre 2017 consid. 9.3, F-362/2015 du 28 juillet 2016 consid. 5.2.3 et la jurisprudence citée). De même, l'étranger qui entre pour la première fois en Suisse en souffrant déjà d'une sérieuse atteinte à la santé ne saurait se fonder uniquement sur ce motif médical pour poursuivre son séjour en Suisse (ATF 128 II 200 consid. 5.3 p. 209 et les références; TF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TAF C-357/2012 du 28 mai 2014 consid. 9.1,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Secrétariat d’État aux migrations (SEM [directives du SEM, ch. 5.6.10.5 état au 1 er novembre 2019]). Selon la jurisprudence, on ne saurait, de manière générale, prolonger indéfiniment le séjour d'un étranger en Suisse au seul motif que la perspective d'un retour exacerberait un état psychologique perturbé, voire réveillerait des idées de suicides, comme dans le cas de la recourante. De telles réactions sont en effet couramment observées chez les personnes confrontées à l'imminence d'un renvoi ou devant faire face à l'incertitude de leur statut en Suisse. Il appartient donc aux thérapeutes de prendre les mesures adéquates pour préparer leurs patients à la perspective d'un retour, respectivement aux autorités d'exécution de vérifier le besoin de mesures particulières que requerrait leur état lors de l'organisation du renvoi (cf. TAF E-6321/2018 du 19 novembre 2018, E-2812/2016 du 13 février 2018 consid. 5.5.6, D-5886/2016 du 20 novembre 2017 consid. 8.5.1; CDAP PE.2018.0426 du 24 octobre 2019, PE.2017.0163 du 8 novembre 2017 consid. 4d/bb et les références). b) Il n'est pas contesté que le Royaume-Uni dispose de structures médicales à même de prendre en charge les affections psychiques dont souffre la recourante. Cela étant , il ressort du dossier que celle-ci souffre d'une pathologie psychiatrique sévère depuis plusieurs années, qui a notamment entraîné de nombreuses hospitalisations en hôpital psychiatrique. Les premières hospitalisations, qui sont intervenues durant l'été 2016, sont antérieures aux problèmes de renouvellement de son autorisation de séjour. On ne saurait dès lors retenir que les problèmes psychiatriques de la recourante sont, à la base, liés à l'imminence de son renvoi ou à l'incertitude de son statut en Suisse, même s'ils sont certainement aggravés par cette situation, ainsi que l'atteste le certificat médical du 29 janvier 2019. Finalement, en se basant plus spécialement sur le certificat médical du 10 mars 2020, le tribunal parvient à la conclusion qu'un retour forcé de la recourante dans son pays serait de nature à mettre concrètement et sérieusement en danger sa santé psychique. Ce certificat médical mentionne en effet une forte probabilité qu'un déménagement mène à une décompensation psychique importante, ce qui mettrait en danger l'intéressée. Sur ce point, il y a lieu également de prendre en considération le fait que la recourante, divorcée et sans enfants, n'a pas de famille ni, apparemment, de réseau social en Angleterre (cf. certificat médical du</w:t>
      </w:r>
    </w:p>
    <w:p>
      <w:r>
        <w:rPr>
          <w:b/>
        </w:rPr>
        <w:t>E. 10</w:t>
      </w:r>
    </w:p>
    <w:p>
      <w:r>
        <w:t>mars 2020), pays dont elle a au demeurant été éloignée pendant plusieurs années durant sa carrière professionnelles (séjours en France et au Luxembourg). On peut ainsi considérer que la recourante se trouve dans un cas de détresse personnelle assimilable à un cas individuel d'une extrême gravité au sens de l'art. 30 al. 1 let. b LEI et 31 OASA. Des motifs importants au sens de l'art. 20 OLCP justifient par conséquent qu'une nouvelle autorisation de séjour UE/AELE lui soit délivrée. 6. Les considérants qui précèdent conduisent à l'admission du recours et à l'annulation de la décision attaquée. La cause est renvoyée à l'autorité intimée afin qu'elle renouvelle l'autorisation de séjour UE/AELE de la recourante. Compte tenu de ses ressources, la recourante a été mis au bénéfice de l'assistance judiciaire par décision du 29 avril 2020 avec désignation d'un conseil d'office. Le conseil d'office peut prétendre à une indemnité pour le travail fourni à un tarif horaire de 180 fr. en tant qu'avocat (art. 2 al. 1 let. a RAJ), ainsi qu'au remboursement de ses débours fixés forfaitairement à 5 % hors taxe en première instance judiciaire (art. 3bis al. 1 RAJ). En l'occurrence, l'indemnité de Me Caroline Wiman Gilardi, sur la base de la liste des opérations produite le 17 novembre 2020, est arrêtée à 4071 fr. 35, soit 3'600 fr. pour le travail d’avocate (20 h x 180), 180 fr. de débours et 291 fr. 05 de TVA au taux de 7.7 %. Ce montant s’entend sous déduction des dépens alloués. Le sort du recours commande que les frais soient laissés à la charge de l’Etat (art. 49 al. 1, 52 al. 1, 91 et 99 LPA-VD). L'indemnité de conseil d'office sera provisoirement supportée par le canton, la recourante étant rendu attentive au fait qu'elle est tenue de rembourser les montants ainsi avancés dès qu'elle sera en mesure de le faire (art. 122 al. 1 let. a et b CPC et 123 al. 1 CPC, applicables par renvoi de l'art. 18 al. 5 LPA-VD). Au vu de l’admission du recours, des dépens seront alloués à la  recourante (art. 55 al. 1, 91 et 99 LPA-VD); ceux-ci seront mis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