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PE.2020.0052 vom 21. Juli 2020</w:t>
      </w:r>
    </w:p>
    <w:p>
      <w:r>
        <w:t>VD Tribunal cantonal, 2020-07-21, FR</w:t>
      </w:r>
    </w:p>
    <w:p>
      <w:r>
        <w:rPr>
          <w:b/>
        </w:rPr>
        <w:t xml:space="preserve">Quelle: </w:t>
      </w:r>
      <w:r>
        <w:t>https://mcp.opencaselaw.ch/entscheid/vd_omni_PE.2020.0052</w:t>
      </w:r>
    </w:p>
    <w:p>
      <w:r>
        <w:t>FR: VD_OMNI PE.2020.0052 du 21 juillet 2020</w:t>
      </w:r>
    </w:p>
    <w:p>
      <w:r>
        <w:t>IT: VD_OMNI PE.2020.0052 del 21 luglio 2020</w:t>
      </w:r>
    </w:p>
    <w:p>
      <w:pPr>
        <w:pStyle w:val="Heading2"/>
      </w:pPr>
      <w:r>
        <w:t>Regeste</w:t>
      </w:r>
    </w:p>
    <w:p>
      <w:r>
        <w:t>A.________ /Service de l'emploi Contrôle du marché du travail, Service de la population (SPOP) | Recourante titulaire d'un bachelor en Architecture d'intérieur, complété par un master en Design avec orientation en Espaces et Communication. Confirmation de l'avis du SDE selon lequel les activités de la recourante ne revêtent pas un intérêt scientifique ou économique prépondérant, nonobstant ses connaissances dans divers domaines et la maîtrise d'un logiciel de dessin particulier. Elle ne dispose pas de connaissance spécifique ou qualification scientifique supérieure à la moyenne de tous les autres diplômés de la même formation. Par ailleurs, diverses études lui ont permis d'acquérir des connaissances variées, mais n'ont pas été poussées jusqu'à l'obtention d'un diplôme. Appréciation confirmée au vu du peu d'expérience professionnelle et de la rémunération peu élevée. Sous l'angle des dispositions relatives à l'ordre de priorité, confirmation du fait que les recherches sur le marché local du travail n'ont pas été suffisantes.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b) En l'espèce, c'est en vain que la recourante soutient que la décision attaquée souffre d'un défaut de motivation. Si la motivation est certes sommaire, elle demeure compréhensible, en particulier en précisant les normes légales applicables. La recourante a d'ailleurs été en mesure de rédiger le présent recours en toute connaissance de cause. La décision est donc suffisamment motivée. Au demeurant, la recourante a pu s'exprimer dans le cadre d'un double échange d'écritures, de sorte qu'un éventuel vice de procédure aurait été réparé en procédure de recours. Quant au prétendu défaut de preuves dont souffrirait la décision attaquée, la question sera examinée en rapport avec les éléments à prouver qui relèvent du fond.</w:t>
      </w:r>
    </w:p>
    <w:p>
      <w:r>
        <w:rPr>
          <w:b/>
        </w:rPr>
        <w:t>E. 3</w:t>
      </w:r>
    </w:p>
    <w:p>
      <w:r>
        <w:t>Sur le fond, le litige porte sur la délivrance d'une autorisation de travail en faveur d'une ressortissante iranienne engagée comme "Architecte d'intérieur / suivi de projets". a) Aux termes de l’art. 18 de la loi fédérale du 16 octobre 2005 sur les étrangers et l'intégration (LEI;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b) En dérogation à l'art. 21 al. 1 LEI, peuvent être admis les étrangers titulaires d'un diplôme d'une haute école ou d'une haute école spécialisée suisse qui souhaitent exercer une activité lucrative qui revêt un intérêt scientifique prépondérant (art. 21 al. 3 LEI). Les directives du Secrétariat d'Etat aux migrations (SEM) intitulées "Domaine des étrangers" prévoient, dans leur version d'octobre 2013 actualisée au 1 er novembre 2019, ce qui suit (ch. 4.4.6, p.35) (ci-après: les directives SEM):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Dans ce cas, l'employeur ne doit notamment plus démontrer qu'il n'a pu trouver une personne correspondant au profil requis en dépit de ses recherches (arrêt du TAF C-6074/2010 du 19 avril 2011 consid. 5.2).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in: FF 2010 373, ch. 3.1 p. 384).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formés en Suisse, l'accès au marché du travail une fois leurs études terminées n'entre pas en considération. Dans ce cas, leur séjour en Suisse, pour autant qu'ils en remplissent les conditions, restera temporaire (cf. ATAF C-7180/2014 du 7 juillet 2015 consid. 6.2, références jurisprudentielles citées). c) En l'occurrence, la recourante est titulaire d'un bachelor en Architecture d'intérieur obtenu en 2017. En 2019, elle a achevé sa formation par un master en Design avec orientation en Espaces et Communication. Si la recourante est indubitablement titulaire d'un diplôme d'une haute école suisse et remplit ainsi la première condition d'application de l'art. 21 al. 3 LEI, il n'en va pas de même de la seconde condition. En effet, on ne saurait considérer que les activités qu'elle déploie au sein de la société qui l'a engagée revêtiraient un intérêt scientifique ou économique prépondérant, nonobstant ses connaissances dans divers domaines et la maîtrise d'un logiciel de dessin particulier. En effet, le Master obtenu ne lui confère pas de connaissance spécifique ou qualification scientifique supérieure à la moyenne de tous les autres diplômés de la même formation. Par ailleurs, le parcours de la recourante a été ponctué de plusieurs changements d'orientation pour aboutir au final à une seule formation entière achevée dans le domaine de l'architecture d'intérieur. Ainsi, même si ses diverses études lui ont permis d'acquérir des connaissances variées, elles n'ont pas été poussées, dans le domaine de l'architecture et des mathématiques, jusqu'à l'obtention d'un diplôme. Au surplus, sa spécialisation en mathématiques et physique remonte à sa formation de niveau gymnase. La recourante ne peut ainsi pas se prévaloir d'être spécialisée dans des domaines autres que l'architecture d'intérieur et le design. En outre, l'expérience professionnelle de la recourante dans son domaine d'activité se limite à un stage de deux mois. D'ailleurs, la rémunération que la recourante a consentie (un 80% à 4'500 fr., soit un 100% à 5'125 fr. par mois) témoigne en faveur d'un "premier travail après études" sans qualifications particulières. Le poste de la recourante s'avère ainsi plutôt sous-rémunéré par rapport aux exigences requises. A préciser que la recourante a déjà bénéficié de fait de la prolongation de six mois à compter de la fin de sa formation pour trouver une activité conformément à l'art. 21 al. 3 LEI. Sans succès. Son activité au sein de la société recourante ne revêtant pas un intérêt scientifique ou économique prépondérant au sens de cette disposition, il résulte que sa demande d'activité lucrative doit être examinée sous l'angle des dispositions relatives à l'ordre de priorité (art. 21 al. 1 LEI).</w:t>
      </w:r>
    </w:p>
    <w:p>
      <w:r>
        <w:rPr>
          <w:b/>
        </w:rPr>
        <w:t>E. 4</w:t>
      </w:r>
    </w:p>
    <w:p>
      <w:r>
        <w:t>a)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LEI, les ch. 4.3.2.1 et 4.3.2.2 des directives SEM prévoient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 européens ". Il y a ainsi lieu de refuser le permis de travail lorsqu’il apparaît que c’est par pure convenance personnelle que le choix de l’employeur s’est porté sur un étranger plutôt que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(entre autres, arrêts PE.2017.0116 du 20 septembre 2017,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PE.2014.0006 du 1 er juillet 2014 consid. 2b; PE.2013.0125 du 16 octobre 2013 consid. 3). A teneur de l’art. 23 al. 1 LEI,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(arrêt du TAF C-5420/2012 du 15 janvier 2014 consid. 8.1 et les réf. cit.). En dérogation à l’art. 23 al. 1 et 2 LEI, peuvent être admis, selon l’al. 3 let. c de cette disposition, notamment les personnes possédant des connaissances ou des capacités professionnelles particulières, si leur admission répond de manière avérée à un besoin. Peuvent profiter de l'art. 23 al. 3 let. c LEI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précité consid. 8.3 et les réf. cit.). Selon l’art. 22 LEI, un étranger ne peut en outre être admis en vue de l’exercice d’une activité lucrative qu’aux conditions de rémunération et de travail usuelles du lieu, de la profession et de la branche. b) Le ch. 4.7 des directives du SEM contient en un résumé des différentes branches, professions et fonctions pour lesquelles des qualifications personnelles spécifiques sont mentionnées, et énonce les critères qu'il convient d'observer particulièrement en matière de qualifications. En ce qui concerne plus spécialement les spécialistes dans le domaine de la construction, les directives (ch. 4.7.13.2.1) retiennent ce qui suit: " Pour des engagements de durée déterminée dans le cadre d’un projet, l’admission de ces spécialistes est possible si l’entreprise apporte la preuve qu’elle a des besoins particuliers et si les spécialistes disposent de la qualification technique requise. La demande doit être accompagnée des documents décrivant le mandat ainsi que du plan de réalisation du projet (cf. arrêt du TAF C-2216/2010 du 12 août 2010,consid. 7.7.). Des séjours aux fins d’une formation continue après l’achèvement de la formation professionnelle de base peuvent être autorisés dans la perspective de l’accès à un poste à responsabilités au sein du groupe d’entreprises à l’étranger ou auprès d’un client important (ou d’un partenaire commercial)". c) En l'espèce, la société qui souhaite employer la recourante n'a effectué de recherche que par le biais de LinkedIn (selon le courrier produit par la recourante qui lui a été adressé par la société le 25 février 2020). Or cette démarche ne la dispensait pas d'effectuer de plus amples recherches sur le marché local du travail, en contactant l'ORP ou en publiant une offre d'emploi dans la presse. Dans ces circonstances, force est de constater que les exigences posées par l'art. 21 al. 1 LEI ne sont pas remplies et que la recourante ne peut par conséquent en l'état pas prétendre à une autorisation de séjour avec activité lucrative fondée sur les art. 18 ss LEI. Les différentes conditions posées à l'octroi d'une autorisation de travail (art. 20 à 25 LEI) étant cumulatives, la question de savoir si les autres conditions posées à l'octroi de l'autorisation litigieuse sont réalisées - en particulier celles liées aux art. 23 al. 1 et 23 al. 3 let. c LEI - peut rester indécise. Il n'y a dès lors pas lieu d'entrer en matière sur le grief de la recourante selon lequel l'autorité intimée n'aurait pas étayé ses affirmations en rapport avec l'absence de pénurie dans le domaine d'activité de la recourante et l'impossibilité de trouver un candidat suisse ou européen pour ce poste.</w:t>
      </w:r>
    </w:p>
    <w:p>
      <w:r>
        <w:rPr>
          <w:b/>
        </w:rPr>
        <w:t>E. 5</w:t>
      </w:r>
    </w:p>
    <w:p>
      <w:r>
        <w:t>En définitive, le recours, mal fondé, doit être rejeté et la décision attaquée confirmée. Les frais de justice sont mis à la charge de la recourante, qui succombe (cf. art. 49 al. 1 LPA-VD). Il n'y a pas lieu d'allouer de dépens (cf. art. 55 al. 1, a contrario ,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