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PE.2020.0039 vom 18. Februar 2021</w:t>
      </w:r>
    </w:p>
    <w:p>
      <w:r>
        <w:t>VD Tribunal cantonal, 2021-02-18, FR</w:t>
      </w:r>
    </w:p>
    <w:p>
      <w:r>
        <w:rPr>
          <w:b/>
        </w:rPr>
        <w:t xml:space="preserve">Quelle: </w:t>
      </w:r>
      <w:r>
        <w:t>https://mcp.opencaselaw.ch/entscheid/vd_omni_PE.2020.0039</w:t>
      </w:r>
    </w:p>
    <w:p>
      <w:r>
        <w:t>FR: VD_OMNI PE.2020.0039 du 18 février 2021</w:t>
      </w:r>
    </w:p>
    <w:p>
      <w:r>
        <w:t>IT: VD_OMNI PE.2020.0039 del 18 febbraio 2021</w:t>
      </w:r>
    </w:p>
    <w:p>
      <w:pPr>
        <w:pStyle w:val="Heading2"/>
      </w:pPr>
      <w:r>
        <w:t>Regeste</w:t>
      </w:r>
    </w:p>
    <w:p>
      <w:r>
        <w:t>A.________ /Service de la population (SPOP) | Recours contre le refus du SPOP de prolonger l'autorisation de séjour UE/AELE d'une ressortissante française née en 1999 entrée en Suisse en 2010 pour y vivre auprès de son père, placée sous curatelle dès 2015 et encore après sa majorité, n'ayant jamais exercé son activité lucrative et ayant fait une demande de prestations de l'AI en cours d'instruction. Constat que la recourante, qui a vécu en Suisse pendant plus de dix ans dont notamment les années d'adolescence peut se prévaloir de l'art. 8 CEDH. Refus de prolonger l'autoristaion de séjour violant le principe de la proportionnalité, la dépendance à l'aide sociale de l'intéressée n'étant pas fautive compte tenu de son état de santé et un retour en France risquant également de mettre fin à la relation avec son concubin. Admission du recours et renvoi de la cause au SPOP pour que celui-ci soumette la prolongation de l'autorisation de séjour de l'intéressée au SEM pour approbation.</w:t>
      </w:r>
    </w:p>
    <w:p>
      <w:pPr>
        <w:pStyle w:val="Heading2"/>
      </w:pPr>
      <w:r>
        <w:t>Erwägungen</w:t>
      </w:r>
    </w:p>
    <w:p>
      <w:r>
        <w:rPr>
          <w:b/>
        </w:rPr>
        <w:t>E. 1</w:t>
      </w:r>
    </w:p>
    <w:p>
      <w:r>
        <w:t>Déposé dans le délai de 30 jours dès la notification de la décision attaquée (art. 95 de la loi vaudoise du 28 octobre 2008 sur la procédure administrative [LPA-VD; BLV 173.36]), le recours est intervenu en temps utile. Il satisfait par ailleurs aux conditions formelles énoncées par l'art. 79 LPA-VD (par renvoi de l'art. 99 LPA-VD). Il y a donc lieu d'entrer en matière sur le fond.</w:t>
      </w:r>
    </w:p>
    <w:p>
      <w:r>
        <w:rPr>
          <w:b/>
        </w:rPr>
        <w:t>E. 2</w:t>
      </w:r>
    </w:p>
    <w:p>
      <w:r>
        <w:t>L’autorité intimée a refusé de prolonger l’autorisation de séjour de la recourante, au motif qu’elle ne vit plus auprès de son père, qu’elle n’exerce pas d’activité lucrative et qu’elle bénéficie des prestations de l’assistance publique depuis le mois de mai 2017 pour un montant total de plus de 60'000 fr. en juin 2019. La décision attaquée constate en outre que la situation de la recourante n’est pas constitutive d’un cas de rigueur, cette dernière pouvant d’après le SPOP poursuivre son suivi médical en France. a) En sa qualité de ressortissante française, la recourante peut se prévaloir de l'Accord du 21 juin 1999 entre la Confédération suisse, d'une part, et la Communauté européenne et ses Etats membres, d'autre part, sur la libre circulation des personnes (ALCP; RS 0.142.112.681). b) En l’espèce, la recourante a obtenu une autorisation de séjour UE/AELE afin de pouvoir vivre auprès de son père, compatriote alors installé à Roche, en application de l’art. 3 par. 1 et 2 annexe I ALCP, en relation avec l’art. 7 let. d ALCP, qui prévoit que les descendants de moins de 21 ans ou à charge d’une personne ressortissant d’une partie contractante ayant un droit de séjour ont le droit de s’installer avec elle. Désormais âgée de plus de 21 ans et vivant de manière indépendante de son père depuis le 1 er avril 2017, la recourante ne peut plus se prévaloir de cette disposition. c) Faute de "moyens financiers suffisants pour ne pas devoir faire appel à l'aide sociale", la recourante, qui perçoit le revenu d'insertion, ne peut invoquer la règlementation du séjour des personnes n'exerçant pas une activité lucrative au sens de l'art. 24 annexe I ALCP pour demeurer en Suisse (cf. arrêt TF 2C_374/2018 du 15 août 2018 consid. 6.4). La recourante prétend que des raisons de santé l’auraient empêchée d’exercer une activité et que la situation serait temporaire. Or, la recourante perçoit le RI depuis le mois de mai 2017, soit depuis plus de trois ans à ce jour, et rien n’indique que la situation puisse s’améliorer à court terme. Par ailleurs, le fait que les prestations financières obtenues de l’aide sociale soient remboursables ne change rien au fait que la recourante ne dispose pas en l’état de moyens financiers suffisants au sens de l’art. 24 annexe I ALCP. d) Il suit de ce qui précède que la recourante ne peut plus bénéficier d’un droit de séjour fondé sur l’ALCP, que cela soit au titre du regroupement familial ou du droit de séjour sans activité économique.</w:t>
      </w:r>
    </w:p>
    <w:p>
      <w:r>
        <w:rPr>
          <w:b/>
        </w:rPr>
        <w:t>E. 3</w:t>
      </w:r>
    </w:p>
    <w:p>
      <w:r>
        <w:t>La recourante fait valoir que sa situation constituerait un cas de rigueur au sens de l’art. 20 de l’ordonnance sur la libre circulation des personnes du 22 mai 2002 (OLCP; RS 142.203). Si la recourante admet que la France dispose certes de moyens médicaux pour assurer sa prise en charge, la rupture du lien de confiance thérapeutique établi avec son psychothérapeute risquerait d’aggraver fortement sa détresse psychique en péjorant ses chances de réinsertion professionnelle. Par ailleurs, si elle était renvoyée en France, elle se trouverait totalement démunie financièrement puisque les prestations qu’elle perçoit actuellement de l’aide sociale ne sont pas exportables et qu’elle ne pourrait pas bénéficier avant ses 25 ans du revenu de solidarité active (RSA; qui assure aux personnes sans ressources un niveau minimum de revenu qui varie selon la composition du foyer). Sa perspective de réinsertion professionnelle serait anéantie, avec toutes les conséquences dramatiques que cela pourrait entraîner. Ce genre de situation justifierait de lui octroyer un permis de séjour sur la base de l’art. 20 OLCP. Par ailleurs, quoique n’invoquant pas expressément l’art. 8 CEDH, elle met en avant, dans le cadre du cas de rigueur, la longue durée de son séjour en Suisse.</w:t>
      </w:r>
    </w:p>
    <w:p>
      <w:r>
        <w:rPr>
          <w:b/>
        </w:rPr>
        <w:t>E. 4</w:t>
      </w:r>
    </w:p>
    <w:p>
      <w:r>
        <w:t>a) Aux termes de l’art. 20 OLCP, si les conditions d'admission sans activité lucrative ne sont pas remplies au sens de l'accord sur la libre circulation des personnes, une autorisation de séjour UE/AELE peut être délivrée lorsque des motifs importants l'exigent. Les conditions posées à l’admission de l’existence de motifs importants au sens de l’art. 20 OLCP correspondent à celles posées à la reconnaissance d’un cas de rigueur en vertu de l’art. 30 al. 1 let. b de la loi fédérale du 16 décembre 2005 sur les étrangers et l’intégration (LEI; RS 142.20) en lien avec les précisions apportées par l’art. 31 de l’ordonnance du 24 octobre 2007 relative à l’admission, au séjour et à l’exercice d’une activité lucrative (OASA; RS 142.201). A teneur de l’art. 30 al. 1 let. b LEI, il est ainsi possible de déroger aux conditions d’admission, notamment dans le but de tenir compte des cas individuels d’une extrême gravité. Un étranger n’a cependant aucun droit à l’octroi d’une autorisation de séjour en vertu de cette disposition (cf. arrêts du TF 2D_39/2018 du 18 décembre 2018 consid. 1.2; 2C_605/2018 du 24 octobre 2018 consid. 1.1). L’art. 31 OASA énumère à titre non exhaustif une liste de critères qui sont à prendre en considération dans l’examen de l’art. 30 al. 1 let. b LEI, à savoir l’intégration, la situation familiale, la situation financière, la durée de la présence en Suisse, l’état de santé et des possibilités de réintégration dans l’état de provenance. b) Selon la jurisprudence constante relative à la reconnaissance des cas de rigueur en application de l'art. 30 al. 1 let. b LEtr,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et 130 II 39 consid. 3).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précité; 128 II 200 consid. 4). c)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139 consid. 6; 128 II 200 consid. 5.3). Selon l'art. 31 al. 5 OASA, il convient de tenir compte, lors de l'examen d'un cas de rigueur, du fait que le requérant aurait été empêché d'exercer une activité lucrative en raison de son âge, de son état de santé ou d'une interdiction légale de travailler.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Directives et commentaires, I. Domaine des étrangers, Secrétariat d'Etat aux migrations [SEM], état au 1 er janvier 2021, ch. 5.6.10.5, à teneur duquel: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w:t>
      </w:r>
    </w:p>
    <w:p>
      <w:r>
        <w:rPr>
          <w:b/>
        </w:rPr>
        <w:t>E. 5</w:t>
      </w:r>
    </w:p>
    <w:p>
      <w:r>
        <w:t>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D’après la jurisprudence récente du Tribunal fédéral, la question du droit au respect de la vie privée (art. 8 par. 1 CEDH) doit être examinée dans le cadre d'une approche globale fondée sur l'art. 8 par. 2 CEDH (ATF 144 I 266 consid. 3.8 p. 277). Ainsi, lorsqu'un étranger réside légalement depuis plus de dix ans en Suisse, il y a lieu de partir de l'idée que les liens sociaux qu'il a développés dans ce pays sont suffisamment étroits pour qu'il puisse en principe se prévaloir de l'art. 8 CEDH et que le refus de prolonger son autorisation de séjour ne peut être prononcé, sous cet angle, que pour des motifs sérieux (cf. ATF 144 I 266 consid. 3 p. 271 ss; arrêts 2C_674/2020 du 20 octobre 2020 consid. 3.1 et 2C_755/2019 du 6 février 2020 consid. 5.1). Une ingérence dans l'exercice du droit au respect de la vie privée garanti par l'art. 8 par. 1 CEDH est possible aux conditions de l'art. 8 par. 2 CEDH. De jurisprudence constante, la question de la proportionnalité du refus d'octroyer une autorisation de séjour (ou d'établissement)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 2C_20/2019 du 13 mai 2019 consid. 7.3). Dans un arrêt récent, le Tribunal fédéral a considéré que le refus d’octroyer une autorisation de séjour à un jeune ressortissant russe violait l’art. 8 CEDH. Quand bien même le recourant avait été condamné pénalement à deux reprises, faisait l’objet de poursuites pour 18'345 fr., n’avait pas été en mesure de mener à bien les études d’informatique qu’il avaient entreprises auprès de l’EPFL et avait séjourné illégalement durant de nombreux mois, le Tribunal fédéral a considéré que le parcours personnel particulier du recourant, le fait qu’il était arrivé très jeune en Suisse et qu’il y avait passé la majeure partie de son existence justifiait l’octroi d’une autorisation de séjour sur la base de l’art. 8 CEDH (arrêt 2C_670/2020 du 28 décembre 2020).</w:t>
      </w:r>
    </w:p>
    <w:p>
      <w:r>
        <w:rPr>
          <w:b/>
        </w:rPr>
        <w:t>E. 6</w:t>
      </w:r>
    </w:p>
    <w:p>
      <w:r>
        <w:t>En l’espèce, la recourante est arrivée en Suisse, le 1 er janvier 2010, alors qu’elle était âgée d’à peine 11 ans, pour rejoindre son père. Une autorisation de séjour par regroupement familial lui a alors été délivrée, à compter de ce jour. A la date du refus de l’autorité intimée de prolonger l’autorisation de séjour litigieuse, le 9 janvier 2020, la recourante séjournait légalement en Suisse depuis dix ans, de sorte que l’art. 8 CEDH est de nature à lui conférer un droit à une autorisation de séjour (cf. ATF 144 I 266 consid. 3.9 p. 277 s.). Le degré d’intégration de la recourante dans notre pays est assez faible: après avoir obtenu un certificat d’études secondaires en VSO en 2015, la recourante n’a pas achevé de formation. Elle a été renvoyée de l’Institution qu’elle fréquentait en 2017 en raison de son comportement et n’a semble-t-il jamais travaillé. La recourante bénéficie sans interruption des prestations du RI depuis le mois de mai 2017 et a reçu à ce titre 60'158 fr. 70 pour la période de mai 2017 à juillet 2019; une demande de prestations AI est en cours d’instruction. Elle est en outre endettée et bénéficie à raison de ce fait d’une curatelle de gestion et de représentation depuis le 11 octobre 2017, soit peu de temps après sa majorité. La recourante a été condamnée par le Président du Tribunal des mineurs à trois demi-journées de prestations personnelles pour contravention et infraction à la loi fédérale sur les stupéfiants. Sa consommation de cannabis, entamée en janvier 2014, semble s’être poursuivie et intensifiée, puisque la recourante a reconnu, lors de l’intervention des gendarmes du 7 juin 2018 qui constataient la présence d’une culture dans son appartement, qu’elle consommait cette drogue à raison de 4 à 5 joints par jour. A ces éléments défavorables, il faut opposer que la recourante a vécu dans notre pays la majeure partie de son existence, en particulier la période cruciale pour le développement personnel que constitue l’adolescence, laquelle a été pour la recourante jalonnée de difficultés puisqu’elle a été mise au bénéfice, en 2015, d’une curatelle d’assistance éducative avant d’être hébergée en Institut. Elle vit désormais avec son compagnon une relation stable depuis quelques années et a en Suisse son père, avec qui elle a des contacts étroits, de même que tous ses amis. Par ailleurs, la recourante, qui n’a que 22 ans, est gravement atteinte dans sa santé. D’après les renseignements médicaux au dossier, après une enfance malheureuse marquée par des rejets et de la violence, la recourante a développé des troubles de la personnalité avec état dépressif. En 2017, elle a en outre présenté un accident avec une grave blessure des tendons de sa main droite, ce qui a entraîné une aggravation de ses symptômes psychiatriques. La recourante a entamé, le 19 juillet 2019, un traitement psychiatrique avec suivi psychothérapeutique à raison d’environ trois fois par mois par un psychologue et un suivi psychiatrique et médicamenteux par un médecin psychiatre à raison d’environ une fois par mois. D’après les déclarations du médecin psychiatre traitant, la nature de l’affection que présente la recourante requiert un lien thérapeutique constant. De la réussite de ce suivi dépend celle de l’intégration socio-professionnelle de la recourante. D’après les médecins, cela pourrait prendre de nombreux mois. On peut ainsi espérer qu’en cas de réussite du traitement, la recourante puisse accéder à une activité économique qui lui permettrait de sortir de sa dépendance à l’aide sociale. Dans son pays d’origine, qu’elle a quitté lorsqu’elle avait 11 ans, la recourante n’a semble-t-il quasi plus d’attaches. Elle y a certes encore sa mère, mais cette dernière ne paraît pas susceptible de lui venir en aide ni sur le plan personnel, ni sur le plan financier, puisqu’elle dépend elle-même des services sociaux. En Suisse, la recourante a en revanche tous ses amis, mais aussi son père, à la garde duquel elle a été confiée lorsqu’elle est arrivée en 1999 et surtout son compagnon, avec lequel elle vit une relation depuis plusieurs années. Or l’existence de cette relation est selon les médecins un des éléments majeurs de l’amélioration de santé de la recourante. On peut d'ailleurs également se demander si la stabilité et l'intensité de cette relation ne justifierait pas son assimilation à une union conjugale protégée par l'art. 8 CEDH (cf. TF 2C_976/2019 du 24 février 2020 consid. 4.1; 2C_832/2018 du 29 août 2019 consid. 2.2 et 2C_97/2010 du 4 novembre 2010 consid. 3.3, respectivement 2C_1035/2012 du 21 décembre 2012 consid. 5.2), question qui peut toutefois être laissé indécise compte tenu du sort du recours. Si la recourante était renvoyée en France, elle y serait dépourvue de moyens financiers et perdrait non seulement le bénéfice que lui procure sa relation stable avec son ami de nationalité suisse, mais également celui du lien thérapeutique mis en place depuis maintenant de nombreux mois. Dans ces circonstances, un renvoi de la recourante dans son pays d’origine est susceptible d’entraîner de graves conséquences pour sa santé. Il ne s’agit pas de permettre à la recourante d’obtenir des prestations médicales supérieures en Suisse, ni de soutenir que la France ne disposerait pas d’infrastructures médicales aptes à la soigner, mais d’assurer le maintien du lien thérapeutique établi avec son psychiatre et son psychologue dès lors que, d’après les rapports médicaux au dossier, la coupure de ce lien risque d’altérer fortement l’état de santé actuel de la recourante de par la difficulté que constituerait la mise en place d’un nouveau suivi. Par ailleurs, la rupture relationnelle semble être à haut risque de réactiver les difficultés psychiatriques de base de la recourante. A cela s’ajoute que la recourante se retrouverait dans son pays d’origine dans le dénuement et quasi sans appui relationnel. En conclusion, la décision attaquée accorde trop de poids à la dépendance financière de la recourante à l’aide sociale, alors que celle-ci semble s’expliquer en partie par ses problèmes de santé. Elle ne prend pas suffisamment en considération le parcours personnel particulier de la recourante, ni le fait qu’elle a vécu dans notre pays la majeure partie de sa jeune existence, qu’elle y a toutes ses attaches et qu’elle est à ce point atteinte dans sa santé psychique qu’un renvoi aurait pour elle de graves conséquences. Partant, le refus du SPOP de prolonger l’autorisation de séjour de la recourante ne respecte pas le principe de la proportionnalité et viole le droit de la recourante au respect de sa vie privée consacré à l’art. 8 CEDH. Pour le surplus, le tribunal retient que, pour les mêmes motifs, l'autorité a excédé son pouvoir d'appréciation en considérant que la situation de la recourante ne relevât pas d’un cas de rigueur au sens de l’art. 20 OLCP. Les autorisations de séjour fondées sur l'art. 8 CEDH et celles fondées sur l'art. 20 OLCP sont soumises à l’approbation du Secrétariat d'Etat aux migrations (SEM; art. 3 let. f et art. 5 let d  de l'ordonnance du 13 août 2015 du DFJP [Département fédéral de justice et police] relative aux autorisations soumises à la procédure d'approbation et aux décisions préalables dans le domaine du droit des étrangers; RS 142.201.1; cf. Directives OLCP, ch. 8.5). Il appartiendra dès lors à l'autorité intimée de soumettre la prolongation de l'autorisation de séjour de la recourante à cette autorité pour approbation, celle-ci étant rendue attentive qu'en vertu de l'art. 99 al. 2 LEI, le SEM n’est pas lié par le présent arrêt.</w:t>
      </w:r>
    </w:p>
    <w:p>
      <w:r>
        <w:rPr>
          <w:b/>
        </w:rPr>
        <w:t>E. 7</w:t>
      </w:r>
    </w:p>
    <w:p>
      <w:r>
        <w:t>Les considérants qui précèdent conduisent à l’admission du recours et à l’annulation de la décision attaquée, la cause étant renvoyée à l’autorité intimée pour qu’elle procède dans le sens des considérants. Compte tenu du sort du recours, il ne sera pas perçu de frais (art. 49 LPA-VD). La recourante, qui obtient gain de cause avec l’aide d’un mandataire professionnel, a droit à une indemnité à titre de dépens, laquelle sera mise à la charge de l’autorité intimée (art. 55 LPA-VD), et qui sera, compte tenu des circonstances de la cause, fixée à 1'500 francs.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110 fr. pour un avocat-stagiaire (art. 2 al. 1 let. a et b RAJ). Les débours sont fixés forfaitairement, sauf circonstances exceptionnelles, à 5% de la participation aux honoraires (hors taxe) (art. 11 al. 3 TFJDA). Dans sa liste des opérations datée du 20 janvier 2021, le conseil d’office de la recourante a indiqué avoir consacré à l’affaire 25h30, ce qui paraît approprié aux nécessités du cas. Le montant des honoraires est arrêté à 4'475 fr. 65 (correspondant à 1h38 au tarif avocat-stagiaire et le solde au tarif horaire de 180 fr). A cette somme s’ajoutent les débours forfaitaires, soit 223 fr. 80, ainsi que la TVA (7,7 %) calculée sur ces montants, soit 361 fr. 85. Le montant 103 fr. 10 de vacations et de frais invoqué par le conseil d’office ne saurait en revanche être comptabilisé en sus du forfait de 223 fr. 80. Il s’ensuit que le montant total de l’indemnité d’office allouée s’élève ainsi à 5'061 fr. 30, dont il convient de déduire le montant de l’indemnité due à titre de dépens, soit un total de 3'561 fr. 30. L'indemnité de conseil d'office et les frais de justice sont supportés provisoirement par le canton, la recourante étant rendue attentive au fait qu'elle pourra être tenue de rembourser les montants ainsi avancés (art. 122 al. 1 let. a CPC et 123 al. 1 CPC, applicables par renvoi de l'art. 18 al. 5 LPA-VD). Il incombe au Service juridique et législatif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