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PE.2020.0030 vom 8. Januar 2021</w:t>
      </w:r>
    </w:p>
    <w:p>
      <w:r>
        <w:t>VD Tribunal cantonal, 2021-01-08, FR</w:t>
      </w:r>
    </w:p>
    <w:p>
      <w:r>
        <w:rPr>
          <w:b/>
        </w:rPr>
        <w:t xml:space="preserve">Quelle: </w:t>
      </w:r>
      <w:r>
        <w:t>https://mcp.opencaselaw.ch/entscheid/vd_omni_PE.2020.0030</w:t>
      </w:r>
    </w:p>
    <w:p>
      <w:r>
        <w:t>FR: VD_OMNI PE.2020.0030 du 8 janvier 2021</w:t>
      </w:r>
    </w:p>
    <w:p>
      <w:r>
        <w:t>IT: VD_OMNI PE.2020.0030 del 8 gennaio 2021</w:t>
      </w:r>
    </w:p>
    <w:p>
      <w:pPr>
        <w:pStyle w:val="Heading2"/>
      </w:pPr>
      <w:r>
        <w:t>Regeste</w:t>
      </w:r>
    </w:p>
    <w:p>
      <w:r>
        <w:t>A.________/Service de la population (SPOP) | La recourante n'exerce qu'une activité marginale et accessoire (à 25% environ) et n'a ainsi pas acquis le statut de travailleur communautaire. Elle dépend en outre de l'aide sociale et ne peut bénéficier dès lors d'un droit originaire à une autorisation sur la base de l'ALCP. Sa fille désormais majeure ne dispose pas non plus d'un droit autonome à poursuivre son séjour en Suisse, afin d'achever une formation professionnelle entamée. Son retour au Portugal est en outre exigible sous l'angle de la protection de sa vie privée.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La recourante conteste le refus de renouveler son autorisation de séjour UE/AELE, ainsi que celle de sa fille, et leur renvoi de Suisse. a) De nationalité portugaise, la recourante peut se prévaloir des droits conférés par l’accord conclu le 21 juin 1999 entre la Confédération suisse, d’une part, et la Communauté européenne et ses Etats membres, d’autre part, sur la libre circulation des personnes (ALCP; RS 0.142.112.681). b)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D’après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l'UE, qui doit s'interpréter en tenant compte de la jurisprudence de la Cour de Justice (ATF 131 II 339 consid. 3.1; arrêts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arrêts TF 2C_374/2018 précité consid. 5.3.1; 2C_99/2018 précité consid. 4.2; 2C_567/2017 précité consid. 4.2.1).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on peut déduire de son comportement qu'il n'existe (plus) aucune perspective réelle qu'il soit engagé à nouveau dans un laps de temps raisonnable ou s’il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arrêts TF 2C_374/2018 précité consid. 5.5; 2C_99/2018 précité consid. 4.4; 2C_567/2017 précité consid. 4.4). c) En l’occurrence, l’autorité intimée a retenu que la recourante ne pouvait pas se prévaloir de la qualité de travailleur. La recourante est au bénéfice de deux contrats de travail, mais pour une durée qui n’excède pas 10,5 heures par semaine, ce qui correspond à une activité à un taux de 25 %. La rémunération qu’elle en retire n’excède pour le surplus pas 1'000 fr. mensuellement. De tels revenus correspondent à une activité marginale et accessoire et ne permettent pas de subvenir aux besoins de la famille. Dans ces circonstances, l'autorité intimée n'a pas excédé ni abusé de son pouvoir d'appréciation en retenant que la recourante n'avait pas acquis la qualité de travailleuse au sens de l'art. 6 annexe I ALCP.</w:t>
      </w:r>
    </w:p>
    <w:p>
      <w:r>
        <w:rPr>
          <w:b/>
        </w:rPr>
        <w:t>E. 3</w:t>
      </w:r>
    </w:p>
    <w:p>
      <w:r>
        <w:t>Pour le surplus, la recourante ne conteste pas n'avoir pas droit à une autorisation de séjour pour personnes n'exerçant pas d'activité économique en application de l’art. 24 annexe I ALCP, faute de disposer des moyens financiers nécessaires.</w:t>
      </w:r>
    </w:p>
    <w:p>
      <w:r>
        <w:rPr>
          <w:b/>
        </w:rPr>
        <w:t>E. 4</w:t>
      </w:r>
    </w:p>
    <w:p>
      <w:r>
        <w:t>La recourante invoque l'art. 3 al. 6 Annexe I ALCP, soutenant que sa fille disposerait d'un droit autonome à poursuivre son séjour en Suisse, dès lors qu’elle y a entamé une formation professionnelle. a) 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Cette disposition accorde à ces enfants un droit à la poursuite de leur séjour dans l'Etat d'accueil, afin d'y terminer leur formation lorsqu'un retour dans leur pays d'origine ne peut pas être exigé (ATF 142 II 35 consid.</w:t>
      </w:r>
    </w:p>
    <w:p>
      <w:r>
        <w:rPr>
          <w:b/>
        </w:rPr>
        <w:t>E. 4.1</w:t>
      </w:r>
    </w:p>
    <w:p>
      <w:r>
        <w:t>p. 41; arrêt 2C_997/2015 du 30 juin 2016 consid. 2.1). Le but du droit de séjour fondé sur l'art. 3 al. 6 Annexe I ALCP est d'encourager la poursuite de l'intégration des enfants en formation. Partant, un tel séjour est soumis à la condition que le retour de l'enfant dans son pays d'origine n'apparaisse pas exigible (ATF 139 II 393 consid. 4.2 p. 399; cf. arrêt 2C_669/2015 du 30 mars 2016 consid. 6.3). Pour le cas où l’enfant disposerait d’un droit propre à cet égard, le parent qui en a la garde peut revendiquer un droit dérivé à la poursuite de son séjour en Suisse (arrêt 2C_997/2015 déjà cité consid. 4). b) En l’occurrence, la fille de la recourante a achevé sa scolarité obligatoire. Sa participation à un semestre de motivation, mesure d’insertion en formation professionnelle qui vise l’obtention d’une place de formation initiale, n’a pas débouché sur la signature d’un contrat d’apprentissage. La fille de la recourante, qui ne poursuit par ailleurs pas ses études, est par conséquent actuellement inscrite auprès d’un Office régional de placement, en recherche d’emploi. La fille de la recourante a par ailleurs vécu dix ans au Portugal, avant de rejoindre la Suisse au bénéfice du regroupement familial. Un retour au Portugal, où la recourante aura également accès aux offres de formation professionnelle initiale, paraît ainsi exigible. Elle ne peut donc tirer un droit originaire à l’obtention d’une autorisation de séjour sur la base de l’art. 3 al. 6 Annexe I ALCP.</w:t>
      </w:r>
    </w:p>
    <w:p>
      <w:r>
        <w:rPr>
          <w:b/>
        </w:rPr>
        <w:t>E. 5</w:t>
      </w:r>
    </w:p>
    <w:p>
      <w:r>
        <w:t>La fille de la recourante ne peut par ailleurs pas tirer un droit au regroupement familial de l 'art. 3 par. 1 annexe I ALCP, en relation avec l'art. 7 let. d ALCP. Ces dispositions autorisent en effet les membres de la famille, en particulier les descendants de moins de 21 ans (art. 3 par. 2 let. a annexe I ALCP), à s’installer avec une personne ressortissant d'une partie contractante ayant un droit de séjour, à condition que celle-ci dispose d'un logement approprié (cf. par. 1 2 e phrase de la disposition précitée). En l’occurrence, la fille de la recourante ne faisait pas et n’envisageait pas de faire ménage commun avec son père en Suisse, ce qui exclut d’emblée l’octroi d’un droit dérivé au regroupement familial fondé sur ces dispositions.</w:t>
      </w:r>
    </w:p>
    <w:p>
      <w:r>
        <w:rPr>
          <w:b/>
        </w:rPr>
        <w:t>E. 6</w:t>
      </w:r>
    </w:p>
    <w:p>
      <w:r>
        <w:t>La recourante soutient enfin que la décision attaquée porte atteinte à sa vie privée et à celle de sa fille, garantie par l’art. 8 par. 1 CEDH (dont la portée est identique à celle de l'art. 13 Cst., cf. ATF 138 I 331 consid. 8.3.2), qui garantit le respect de la vie privée et familiale. a) Sous l'angle étroit de la protection de la vie privée, l'art. 8 al.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Dans l'ATF 144 I 266,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CEDH . Il en ressort notamment que ce droit dépend fondamentalement de la durée de la résidence en Suisse de l'étranger. Ainsi, lorsque l’étranger réside en Suisse légalement depuis plus de dix ans,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La Haute Cour a cependant précisé que, dans certains cas particuliers, la situation peut se présenter différemment et l'intégration laisser à désirer, malgré un séjour de plus de dix ans.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singulièrement 3.9; TF 2C_20/2019 du 13 mai 2019 consid. 7.1 et 7.4; 2C_302/2019 du 1 er avril 2019 consid. 4.1; PE.2019.0165 du 5 décembre 2019 consid. 6a/aa). b) En l’occurrence, le séjour de la fille de la recourante en Suisse n’atteint pas encore dix ans. On ne saurait par ailleurs retenir qu’elle ferait l’objet d’une intégration si poussée en Suisse qu’il conviendrait de s’écarter d’une durée de séjour habituelle de dix ans pour reconnaître l’existence d’un droit à la protection de sa vie privée. Même si l’intéressée a passé en Suisse des années déterminantes pour la construction de sa personnalité, y ayant accompli la fin de sa scolarité obligatoire, elle n’est pas parvenue à entamer une formation professionnelle initiale ou des études, de sorte qu’elle est actuellement inscrite au chômage. La fille de la recourante étant devenue majeure, on ne peut en outre pas considérer que le lien qu'elle entretient avec son père justifierait l’octroi d’une autorisation de séjour en sa faveur. Cette relation privilégiée pourra le cas échéant être maintenue par le biais des moyens de communication à distance ou à l’occasion de séjour entre le Portugal et la Suisse. Dans de telles circonstances, il convient de retenir que le renvoi de Suisse de la fille de la recourante ne porte pas atteinte à sa vie privée. Il suit de ce qui précède que le renvoi de la fille de la recourante est exigible et n’est pas susceptible de porter atteinte à l’art. 8 CEDH. 7. Le recours doit ainsi être rejeté et la décision attaquée confirmée. L'autorité intimée impartira à la recourante un nouveau délai de départ approprié (cf. art. 64d LEI; TF 2C_815/2018 du 24 avril 2019 consid. 5.4 et 5.5 ; 2C_631/2018 du 4 avril 2019 consid. 6), en tenant en particulier compte de la situation sanitaire liée à la pandémie du coronavirus COVID-19. Les frais de justice devraient être mis à la charge de la recourante, qui succombe (art. 49 LPA-VD). Celle-ci étant au bénéfice de l'assistance judiciaire, les frais seront provisoirement laissés à la charge de l'Etat, la recourante étant rendue attentive qu'elle est tenue de rembourser ce montant dès qu'elle sera en mesure de le faire (art. 122 CPC applicable par renvoi de l'art. 18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