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PE.2020.0002 vom 1. Mai 2020</w:t>
      </w:r>
    </w:p>
    <w:p>
      <w:r>
        <w:t>VD Tribunal cantonal, 2020-05-01, FR</w:t>
      </w:r>
    </w:p>
    <w:p>
      <w:r>
        <w:rPr>
          <w:b/>
        </w:rPr>
        <w:t xml:space="preserve">Quelle: </w:t>
      </w:r>
      <w:r>
        <w:t>https://mcp.opencaselaw.ch/entscheid/vd_omni_PE.2020.0002</w:t>
      </w:r>
    </w:p>
    <w:p>
      <w:r>
        <w:t>FR: VD_OMNI PE.2020.0002 du 1 mai 2020</w:t>
      </w:r>
    </w:p>
    <w:p>
      <w:r>
        <w:t>IT: VD_OMNI PE.2020.0002 del 1 maggio 2020</w:t>
      </w:r>
    </w:p>
    <w:p>
      <w:pPr>
        <w:pStyle w:val="Heading2"/>
      </w:pPr>
      <w:r>
        <w:t>Regeste</w:t>
      </w:r>
    </w:p>
    <w:p>
      <w:r>
        <w:t>A.________/Service de l'emploi Contrôle du marché du travail, Service de la population (SPOP) | Confirmation du refus du SDE d'autoriser l'engagement, par une entreprise de jardinage, d'un ressortissant du Nigéria en qualité d'aide-jardinier sans expérience. Pas de qualifications personnelles ou professionnelles au sens de l'art. 23 LEI nécessitées par cette activité (consid. 1). L'employeur n'a pas effectué les démarches requises afin de trouver un employé indigène ou ressortissant de l'UE/AELE (consid. 2). Recours rejeté.</w:t>
      </w:r>
    </w:p>
    <w:p>
      <w:pPr>
        <w:pStyle w:val="Heading2"/>
      </w:pPr>
      <w:r>
        <w:t>Erwägungen</w:t>
      </w:r>
    </w:p>
    <w:p>
      <w:r>
        <w:rPr>
          <w:b/>
        </w:rPr>
        <w:t>E. 1</w:t>
      </w:r>
    </w:p>
    <w:p>
      <w:r>
        <w:t>La décision attaquée refuse la prise d'emploi d'un ressortissant du Nigéria. a) Les ressortissants étrangers ne bénéficient en principe d'aucun droit à l'obtention d'une autorisation de séjour et de travail, sauf s'ils peuvent le déduire d'une norme particulière du droit fédéral ou d'un traité international (ATF 131 II 339 consid. 1 et les références). A teneur de l'art. 2 al. 1 LEI, celle-ci s'applique aux étrangers dans la mesure où leur statut juridique n'est pas réglé par d'autres dispositions du droit fédéral ou par des traités internationaux conclus par la Suisse. En l'espèce, le recourant étant ressortissant du Nigéria, soit d'un Etat tiers, il ne saurait se prévaloir de l'accord du 21 juin 1999 entre la Confédération suisse, d'une part, et la Communauté européenne et ses Etats membres, d'autre part, sur la libre circulation des personnes (ALCP; RS 0.142.112.681), ni d'un autre traité, tel que celui avec l'Association européenne de libre-échange (AELE) (cf. art. 2 al. 2 et 3 LEI). Il est par conséquent soumis aux dispositions de la LEI. Le fait qu'il bénéficiait, voire bénéficie encore d'un titre de séjour en Italie, qui était valable jusqu'au 26 septembre 2019, n'y change rien. L'ALCP assure en effet une libre circulation aux ressortissants de ses Etats membres uniquement, et non aux membres de la famille de ses ressortissants, s'ils n'accompagnent pas le ressortissant d'un Etat membre faisant usage de la libre circulation. En l'occurrence, le recourant n'accompagne pas en Suisse son épouse ressortissante italienne mais s'y est rendu seul. b) Aux termes de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Aux termes de l'art. 18 LEI, un étranger ne peut être admis en vue de l’exercice d’une activité lucrative salariée que si son admission sert les intérêts économiques du pays (let. a), si son employeur a déposé une demande (let. b) et si les conditions fixées aux art. 20 à 25 de la loi sont remplies (let. c). Le Conseil fédéral peut limiter le nombre de ces autorisations (art. 20 LEI). Parmi ces conditions, l'art. 23 al. 1 LEI relatif aux "qualités personnelles" de la personne étrangère, prévoit que seuls les cadres, les spécialistes ou autres travailleurs qualifiés peuvent obtenir une autorisation de courte durée ou de séjour. La référence aux "autres travailleurs qualifiés"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 Marc S PESCHA , in: Spescha/Thür/Zünd/Bolzli/Hruschka, Migrationsrecht, 2019, p. 131, ch. 1 ad art. 23 LEtr). Il n'en demeure pas moins que le statut de courte durée, comme celui du séjour durable, reste réservé à la main-d’œuvre très qualifiée et qu'il est nécessaire que le travailleur en question ait les connaissances spéciales et les qualifications requises (Message concernant la loi sur les étrangers [ci-après: Message LEtr], du 8 mars 2002, FF 2002 3469, p. 3540 ). C'est ainsi que l'admission sera, en principe, refusée pour des postes ne requérant aucune formation particulière (Lisa O TT , in: Caroni/Gächter/Thurnherr, [édit.], Bundesgesetz über die Ausländerinnen und Ausländer, 2010, pp. 179-180, ch. 6 ad art. 23 LEtr) (cf. TAF C-5184/2014 du 31 mars 2016 consid. 5.4.1). Le ch. 4.3.5 des Directives et commentaires, I. Domaine des étrangers (Directives LEI), état au 1 er novembre 2019, du Secrétariat d'Etat aux migrations (SEM) (cf. également arrêts PE.2016.0379 du 5 janvier 2017 consid. 3a; PE.2013.0265 du 19 août 2014 consid. 2c et PE.2013.420 du 13 février 2014 consid. 4d), précise ce qui suit: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Quant à l'art. 23 al. 3 LEI, il prévoit, en dérogation aux deux premiers alinéas de l'art. 23 LEI, que peuvent être admises notamment les personnes possédant des connaissances ou des capacités professionnelles particulières, si leur admission répond de manière avérée à un besoin (let. c). Peuvent se réclamer de cette disposition des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ressortissant d’un Etat membre de l’UE ou de l’AELE (Message LEtr, p. 3541; cf. TAF C-5184/2014 précité consid. 5.4.2). c) En l'espèce, la recourante a engagé le recourant, ressortissant du Nigéria, pour un poste d'aide-jardinier sans CFC et sans expérience professionnelle. Or, on ne saurait considérer que cette activité nécessite, sur le principe, des qualifications personnelles et professionnelles particulières au sens de l'art. 23 LEI, que ce soit selon son al. 1 ou son al. 3. En effet, il ressort du contrat de travail que le poste concerné est celui d'"aide-jardinier sans CFC avec 0 années d'expérience (C2)". Cette catégorie C2 regroupe selon la convention collective de travail "Paysagistes et entrepreneurs de jardins du canton de Vaud" les " AFP et aide-jardinier sans CFC dans la branche mais au bénéfice d’une expérience de 2 ans dans le métier", ce qui paraît même encore surévalué par rapport au recourant qui ne bénéficie d'aucune expérience dans le domaine. Il n'apparaît ainsi pas que cette activité requiert de compétences particulières au sens de l'art. 23 LEI.</w:t>
      </w:r>
    </w:p>
    <w:p>
      <w:r>
        <w:rPr>
          <w:b/>
        </w:rPr>
        <w:t>E. 2</w:t>
      </w:r>
    </w:p>
    <w:p>
      <w:r>
        <w:t>a) Au demeurant, en vertu de l'art. 21 al. 1 LEI, qui prévoit un ordre de priorité entre les travailleurs,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l'art. 21 al. 2 LEI, sont considérés comme travailleurs en Suisse, les Suisses (let. a), les titulaires d'une autorisation d'établissement (let. b) et les titulaires d'une autorisation de séjour qui ont le droit d'exercer une activité lucrative (let. c). L'employeur potentiel doit apporter la preuve qu'il a effectué des recherches suffisantes afin de trouver un employé déjà disponible sur le marché du travail. Le SEM donne les précisions suivantes dans les Directives LEI précitées: "4.3.2 Ordre de priorité (art. 21 LEI) 4.3.2.1    Principe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C-106/2013 du 23 juillet 2014, consid. 6). [...] 4.3.2.2    Efforts de recherche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Selon la jurisprudence, il convient de se montrer strict quant à l’exigence des recherches faites sur le marché de l'emploi.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(cf. notamment arrêts PE.2018.0434 du 11 avril 2019 consid. 2b; PE.2016.0379 du 5 janvier 2017 consid. 2b; PE.2014.0006 du 1 er juillet 2014 consid. 2b et les références). b) En l'espèce, il n'apparaît pas que la recourante ait effectué les démarches requises par la loi et la jurisprudence afin de trouver un employeur indigène ou ressortissant de l'UE/AELE. Seule figure au dossier une offre publiée sur un site romand de petites annonces (www.anibis.ch) pour un "paysagiste africain" et qui se trouvait encore en ligne le 6 décembre 2019, jour où elle a été imprimée, soit plus de trois mois après que le contrat de travail avec le recourant ait été signé. La recourante ne soutient pas avoir annoncé le poste à l'ORP ou mis des annonces dans les quotidiens et la presse spécialisée, ni avoir recouru aux médias électroniques avant d'avoir engagé l'intéressé. On ne saurait dès lors considérer qu'elle a fourni tous les efforts que l'on pouvait attendre d'elle afin de trouver un travailleur disponible sur le marché indigène ou ressortissant d'un Etat membre de l'UE/AELE, avec le profil requis, au besoin à l'issue d'un délai raisonnable de formation. Sur ce point, la recourante paraît avoir assimilé le fait que le recourant est titulaire d'un titre de séjour en Italie avec un statut de ressortissant d'un Etat membre lui conférant la libre circulation en Suisse également. Or, le recourant est ressortissant d'un Etat tiers et il ne peut ainsi bénéficier de la libre circulation garantie par l'ALCP. Dans ces conditions, la recourante paraît avoir eu la volonté d'engager le recourant et lui seul plutôt qu'une autre personne, par pure convenance personnelle. Les conditions de l'art. 21 LEI ne sont donc pas réunies.</w:t>
      </w:r>
    </w:p>
    <w:p>
      <w:r>
        <w:rPr>
          <w:b/>
        </w:rPr>
        <w:t>E. 3</w:t>
      </w:r>
    </w:p>
    <w:p>
      <w:r>
        <w:t>Il résulte de ce qui précède que le recours doit être rejeté et la décision attaquée, confirmée. Succombant, les recourants supportent les frais de justice. Il n'est pas alloué de dépens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