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PE.2019.0440 vom 29. Januar 2020</w:t>
      </w:r>
    </w:p>
    <w:p>
      <w:r>
        <w:t>VD Tribunal cantonal, 2020-01-29, FR</w:t>
      </w:r>
    </w:p>
    <w:p>
      <w:r>
        <w:rPr>
          <w:b/>
        </w:rPr>
        <w:t xml:space="preserve">Quelle: </w:t>
      </w:r>
      <w:r>
        <w:t>https://mcp.opencaselaw.ch/entscheid/vd_omni_PE.2019.0440</w:t>
      </w:r>
    </w:p>
    <w:p>
      <w:r>
        <w:t>FR: VD_OMNI PE.2019.0440 du 29 janvier 2020</w:t>
      </w:r>
    </w:p>
    <w:p>
      <w:r>
        <w:t>IT: VD_OMNI PE.2019.0440 del 29 gennaio 2020</w:t>
      </w:r>
    </w:p>
    <w:p>
      <w:pPr>
        <w:pStyle w:val="Heading2"/>
      </w:pPr>
      <w:r>
        <w:t>Regeste</w:t>
      </w:r>
    </w:p>
    <w:p>
      <w:r>
        <w:t>A.________/Service de la population (SPOP) | Demande de réexamen du refus de renouveler l'autorisation de séjour d'un ressortissant cubain, qui invoque les conséquences de son départ sur la santé de sa dernière fille, née prématurément et nécessitant une surveillance médicale accrue. Cette circonstance n'est pas de nature à modifier la pesée des intérêts effectuée précédemment, vu le lourd passé pénal du recourant. Celui-ci a d'ailleurs fait l'objet d'une nouvelle condamnation pénale entraînant notamment une peine privative de liberté de 24 mois. Il persiste ainsi à enfreindre gravement l'ordre juridique suisse et n'a pas respecté la décision de renvoi de Suisse signifiée en 2011 et confirmée en 2013 par la CDAP. Rejet du recours. Recours au TF rejeté (2C_203/2020 du 8 mai 2020).</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 La jurisprudence a retenu qu'un nouvel examen de la demande d'autorisation peut intervenir environ cinq ans après la fin du séjour légal en Suisse, respectivement à compter de la date d'entrée en force de la décision initiale de refus (cf. TF 2C_170/2018 du 18 avril 2018 consid. 4.2).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TF 2C_176/2019 du 31 juillet 2019 consid. 7; TF 2C_862/2018 du 15 janvier 2019 consid. 3.1; TF 2C_556/2018 du 14 novembre 2018 consid. 3; TF 2C_107/2018 du 19 septembre 2018 consid. 3.3 et les références citées). Le nouvel examen de la demande suppose enfin que l'étranger ait respecté son obligation de quitter la Suisse et ait fait ses preuves dans son pays d'origine ou de séjour (cf. TF 2C_170/2018 du 18 avril 2018 consid. 4.2 et les arrêts cités). b) En l'occurrence, le recourant sollicite un réexamen de sa situation, conformément à l'art. 64 LPA-VD, vu la présence de faits nouveaux, soit les problèmes récents de santé de sa fille E.________. Dans ces circonstances, une éventuelle révision au sens de l'art. 100 LPA-VD n'entre pas en considération (art. 100 al. 2 LPA-VD).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PE.2019.0242 du 27 août 2019 consid. 1a; PE.2019.0200 du 13 août 2019 consid. 2a/bb; PE.2019.0099 du 12 juin 2019 consid. 2a et les références citées).</w:t>
      </w:r>
    </w:p>
    <w:p>
      <w:r>
        <w:rPr>
          <w:b/>
        </w:rPr>
        <w:t>E. 3</w:t>
      </w:r>
    </w:p>
    <w:p>
      <w:r>
        <w:t>Le recourant relève que lors de sa première demande de réexamen du 3 mai 2013, il ignorait encore tout des conséquence fâcheuses que son absence pourrait avoir pour le bon développement de sa fille sur le plan médical, ces éléments n'ayant été portés à sa connaissance que par le rapport médical du 23 mars 2019. Il convient selon lui de "corriger la pesée des intérêts" en tenant compte de ces nouveaux rapports médicaux. Le recourant s'est déjà prévalu de la naissance de sa fille E.________ le 1 er février 2013, qui était alors hospitalisée après sa naissance prématurée. A supposer que les problèmes actuels de santé de cette enfant, tels que relatés dans les certificats médicaux produits constituent un fait nouveau au sens de l'art. 64 al. 2 let. a LPA-VD, le recourant a fait l'objet d'une nouvelle condamnation pénale pour laquelle il est incarcéré depuis le mois de novembre 2018. Cet élément doit donc aussi être en pris en considération dans la pesée des intérêts à effectuer dans le cadre d'un réexamen de sa situation. Il ressort des rapports médicaux précités que les problèmes de santé dont souffre actuellement l'enfant E.________ sont en lien avec la situation familiale, ainsi qu'avec une fragilité propre à sa condition d'enfant né prématurément. Si la présence de son père avec lequel elle a tissé une relation proche paraît souhaitable, il n'en demeure pas moins que, comme l'a relevé l'autorité intimée, cette circonstance n'est pas de nature à modifier la pesée des intérêts effectuée précédemment. Il peut notamment être renvoyé à cet égard aux considérants de l'arrêt du Tribunal de céans du 5 juin 2014 (PE.2013.0267 consid. 2). En effet, le recourant a, depuis la précédente décision du SPOP, fait l'objet d'une nouvelle condamnation pénale entraînant une peine privative de liberté de 24 mois auxquels s'ajoutent encore 18 mois suite à la révocation d'un sursis partiel à une peine antérieure. Il persiste ainsi à enfreindre gravement l'ordre juridique suisse. A cela s'ajoute que, bien que faisant l'objet d'une décision de renvoi de Suisse depuis 2011, décision confirmée sur recours en 2013, le recourant persiste à ne pas respecter cette décision. En conséquence, l'appréciation de l'autorité intimée selon laquelle l'intérêt public à son éloignement de Suisse doit primer son intérêt privé et celui de sa famille à y rester, ne prête pas le flanc à la critique et doit être confirmée.</w:t>
      </w:r>
    </w:p>
    <w:p>
      <w:r>
        <w:rPr>
          <w:b/>
        </w:rPr>
        <w:t>E. 4</w:t>
      </w:r>
    </w:p>
    <w:p>
      <w:r>
        <w:t>Au vu des considérants qui précèdent, le recours est manifestement mal fondé. Il doit être rejeté selon la procédure simplifiée de l'art. 82 LPA-VD, sans autre mesure d'instruction. Le rejet du recours entraîne la confirmation de la décision attaquée. Succombant, le recourant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