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PE.2019.0435 vom 22. Juli 2020</w:t>
      </w:r>
    </w:p>
    <w:p>
      <w:r>
        <w:t>VD Tribunal cantonal, 2020-07-22, FR</w:t>
      </w:r>
    </w:p>
    <w:p>
      <w:r>
        <w:rPr>
          <w:b/>
        </w:rPr>
        <w:t xml:space="preserve">Quelle: </w:t>
      </w:r>
      <w:r>
        <w:t>https://mcp.opencaselaw.ch/entscheid/vd_omni_PE.2019.0435</w:t>
      </w:r>
    </w:p>
    <w:p>
      <w:r>
        <w:t>FR: VD_OMNI PE.2019.0435 du 22 juillet 2020</w:t>
      </w:r>
    </w:p>
    <w:p>
      <w:r>
        <w:t>IT: VD_OMNI PE.2019.0435 del 22 luglio 2020</w:t>
      </w:r>
    </w:p>
    <w:p>
      <w:pPr>
        <w:pStyle w:val="Heading2"/>
      </w:pPr>
      <w:r>
        <w:t>Regeste</w:t>
      </w:r>
    </w:p>
    <w:p>
      <w:r>
        <w:t>A.________, B.________ /Service de l'emploi Contrôle du marché du travail, Service de la population (SPOP) | Confirmation du refus du SDE de délivrer une autorisation de travail en faveur d'un ressortissant macédonien engagé en qualité de chauffeur-livreur spécialisé dans le montage de meubles, une telle activité ne requérant pas de qualifications personnelles spécifiques.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la question de savoir si c'est à bon droit que l'autorité intimée a refusé d'accorder une autorisation de séjour avec activité lucrative en faveur de B.________.</w:t>
      </w:r>
    </w:p>
    <w:p>
      <w:r>
        <w:rPr>
          <w:b/>
        </w:rPr>
        <w:t>E. 3</w:t>
      </w:r>
    </w:p>
    <w:p>
      <w:r>
        <w:t>a) Aux termes de l'art. 18 de la loi fédérale du 16 décembre 2005 sur les étrangers et l'intégration (LEI; RS 142.20),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(arrêt GE.2018.0063 du 12 mars 2019 consid. 3b, et la référence citée). Parmi les conditions fixées aux art. 20 à 25 LEI, l'art . 23 al. 1 LEI relatif aux "qualifications personnelles" de la personne étrangère, prévoit que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 Marc S PESCHA , in : Spescha/Thür/Zünd/Bolzli/Hruschka, Migrationsrecht, 2015, p. 99,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 C'est ainsi que l'admission sera, en principe, refusée pour des postes ne requérant aucune formation particulière (Lisa O TT , in : Caroni/Gächter/Thurnherr, [édit.], Bundesgesetz über die Ausländerinnen und Ausländer, 2010, pp. 179-180, ch. 6 ad art. 23 LEtr) (cf. TAF C-5184/2014 du 31 mars 2016 consid. 5.4.1). Le ch. 4.3.5 des Directives et commentaires, I. Domaine des étrangers (Directives LEI), état au 1 er avril 2020, du Secrétariat d'Etat aux migrations (SEM) (cf. également arrêt PE.2019.0169 du 15 novembre 2019 consid. 3a et les références citées) donne les précisions suivantes sur les qualifications personnelles requises par l'art. 23 LEI: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TAF C-5184/2014 précité consid. 5.4.2). b) Dans ses écritures, le recourant expose qu'il a recherché en vain pendant plus de trois mois un chauffeur-livreur spécialisé en montage de meubles sur le marché indigène et que c'est pour cette raison qu'il a fait appel à son cousin, qui aurait les connaissances nécessaires. Il ne conteste en revanche pas vraiment l'appréciation de l'autorité intimée selon laquelle une telle activité ne requiert pas des qualifications personnelles spécifiques au sens de l'art. 23 LEI. Vu les mandats qu'il a avec des entreprises actives dans le domaine de l'ameublement, il est compréhensible que le recourant recherche et souhaite engager du personnel qui a déjà de l'expérience en matière de montage de meubles. Il ne s'agit toutefois pas d'un pré-requis, le métier s'apprenant sur le tas et ne nécessitant pas de beaucoup de pratique avant d'être opérationnel. Du reste, selon son curriculum vitae figurant dans le dossier du SPOP, B.________ n'avait en août 2018 (soit à peine plus d'une année avant son engagement) aucune expérience dans le domaine. Les exigences fixées par l'art. 23 LEI en matière de qualifications personnelles ne sont ainsi clairement pas réalisées. Pour le reste, il n'est pas contesté que B.________ est volontaire, motivé et apte à s'intégrer rapidement. Ces éléments ne sont toutefois pas pertinents dans l'examen d'une demande de main d'œuvre étrangère. Au regard de ces éléments, l'autorité intimée n'a pas violé le droit, ni abusé de son pouvoir d'appréciation, en refusant d'octroyer l'autorisation de séjour avec activité lucrative sollicitée.</w:t>
      </w:r>
    </w:p>
    <w:p>
      <w:r>
        <w:rPr>
          <w:b/>
        </w:rPr>
        <w:t>E. 4</w:t>
      </w:r>
    </w:p>
    <w:p>
      <w:r>
        <w:t>Les considérants qui précèdent conduisent au rejet du recours et à la confirmation de la décision attaquée. Le recourant, qui succombe, supportera les frais de justice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