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PE.2019.0433 vom 21. Juli 2020</w:t>
      </w:r>
    </w:p>
    <w:p>
      <w:r>
        <w:t>VD Tribunal cantonal, 2020-07-21, FR</w:t>
      </w:r>
    </w:p>
    <w:p>
      <w:r>
        <w:rPr>
          <w:b/>
        </w:rPr>
        <w:t xml:space="preserve">Quelle: </w:t>
      </w:r>
      <w:r>
        <w:t>https://mcp.opencaselaw.ch/entscheid/vd_omni_PE.2019.0433</w:t>
      </w:r>
    </w:p>
    <w:p>
      <w:r>
        <w:t>FR: VD_OMNI PE.2019.0433 du 21 juillet 2020</w:t>
      </w:r>
    </w:p>
    <w:p>
      <w:r>
        <w:t>IT: VD_OMNI PE.2019.0433 del 21 luglio 2020</w:t>
      </w:r>
    </w:p>
    <w:p>
      <w:pPr>
        <w:pStyle w:val="Heading2"/>
      </w:pPr>
      <w:r>
        <w:t>Regeste</w:t>
      </w:r>
    </w:p>
    <w:p>
      <w:r>
        <w:t>A.________/Service de la population (SPOP) | Le refus initial de délivrer une autorisation de séjour au recourant, ressortissant kosovar, a précédemment été confirmé par la CDAP en 2016. Cette décision ne peut donc plus faire l'objet d'un réexamen et la demande du recourant en ce sens devait être déclarée irrecevable par le SPOP pour ce seul motif. A supposer que cette demande ait dû être traitée comme une nouvelle demande d'autorisation de séjour, l'issue de la procédure serait la même. En effet, aucun des motifs invoqués par le recourant n’est de nature à modifier, dans une mesure juridiquement pertinente, l'état de fait à la base de la décision négative initiale et à aboutir à un résultat différent. Le recourant a toujours vécu en Suisse de façon illégale et y est demeuré au mépris des interdictions d’entrée et décisions de renvoi prononcées à son encontre, ce que la CDAP avait déjà relevé dans l'arrêt précédent; il n'est pas fondé à se prévaloir du respect de sa vie familiale dans la mesure où ni son fils né en 2019, ni la mère de ce dernier n'ont de statut légal en Suisse; enfin, il ne se prévaut d'aucun élément nouveau permettant de retenir que sa réintégration dans son pays d'origine serait compromise.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Une demande de reconsidération est une requête adressée à l'autorité qui a rendu une décision en vue d'obtenir la modification ou l'annulation de celle-ci. Indépendamment du fait qu'elle s'appelle "nouvelle demande" ou demande de reconsidération,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–une [première] demande d'autorisation déposée auprès d'elles comme une demande de reconsidération, en se référant à la décision négative de l'autorité de police des étrangers d'un autre canton). bb) Ces principes sont codifiés à l'art. 64 LPA-VD, à teneur duquel: « 1 Une partie peut demander à l'autorité de réexaminer sa décision.</w:t>
      </w:r>
    </w:p>
    <w:p>
      <w:r>
        <w:rPr>
          <w:b/>
        </w:rPr>
        <w:t>E. 1.1.1</w:t>
      </w:r>
    </w:p>
    <w:p>
      <w:r>
        <w:t>p. 148, et les arrêts cités). Ressortissant du Kosovo, le recourant ne peut invoquer aucun traité en sa faveur, de sorte que son recours sera exclusivement examiné au regard de la loi fédérale du 16 décembre 2005 sur les étrangers ( [ LEtr ] depuis le 1 er janvier 2019: loi fédérale sur les étrangers et l’intégration [LEI; RS 142.20]) et de ses ordonnances d’application, dans leur teneur en vigueur depuis le 1 er janvier 2019 (cf. art. 126 al. 1 LEI), la décision attaquée étant postérieure à cette date. b) Il est possible de déroger aux conditions d'admission dans le but notamment de tenir compte des cas individuels d'une extrême gravité ou d’intérêts publics majeurs (art. 30 al. 1 let. b LEI ).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a.         de l’intégration du requérant sur la base des critères d’intégration définis à                       l’art. 58a, al. 1, LEI; b. [ …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aa)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du 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b) Selon la jurisprudence du Tribunal fédéral (voir aussi CDAP PE.2020.0116 du 2 juillet 2020 consid. 2a), le recours en matière de droit public étant une voie de droit ordinaire de nature réformatoire, son admission ou son rejet sur la base des faits constatés dans la décision attaquée conduit à ce que l'arrêt du Tribunal fédéral se substitue à la décision attaquée. Dans cette hypothèse, la partie qui entend faire valoir un motif de révision doit former la demande de révision devant le Tribunal fédéral dont l'arrêt constitue alors la seule décision en force susceptible d'être révisée pour les motifs énumérés aux art. 121 et 123 de la loi du 17 juin 2005 sur le Tribunal fédéral (LTF; RS 173.10) (ATF 144 I 208 consid. 3.1; TF 2C_810/2009 du 26 mai 2010 consid. 3.1.2). En revanche, la demande en révision doit être formée devant l'instance précédente lorsque le recours en matière de droit public a été déclaré irrecevable ou lorsque le motif de la demande en révision porte sur des aspects qui n'étaient plus litigieux en procédure principale devant le Tribunal fédéral (TF 2C_810/2009 du 26 mai 2010 consid. 3.1.2). Ainsi, toujours selon la jurisprudence du Tribunal fédéral (voir aussi CDAP PE.2020.0116 du 2 juillet 2020 consid. 2a), lorsqu'une décision initiale du SPOP a été confirmée par la CDAP, puis par le Tribunal fédéral, le jugement de la CDAP, respectivement l'arrêt du TF, se sont successivement substitués aux prononcés attaqués en raison de l'effet dévolutif des recours. Une demande de réexamen, au sens propre du terme, de la décision initiale du SPOP ou de l'arrêt de la CDAP n'est dès lors plus possible et doit être déclarée irrecevable. Dans ces circonstances, seul peut faire l'objet d'un recours le refus d'octroyer une nouvelle autorisation de police des étrangers (TF 2C_75/2020 du 8 juin 2020 consid. 2 à 4; 2C_1120/2018 du 17 décembre 2018 consid. 4 et 5; 2C_848/2019 du 11 octobre 2019 consid. 3; voir également 2C_497/2019 du 12 juillet 2019 consid. 5.2). c) En cas de dépôt d'une nouvelle demande d'autorisation, l'on ne se trouve pas dans une situation de réexamen au sens propre du terme. Il n'en demeure pas moins que, à l'instar d'une demande de réexamen au sens strict, ces nouvelles requêtes ne doivent pas non plus permettre à un étranger de remettre en cause sans cesse une décision mettant fin au titre de séjour (arrêt 2C_1224/2013 du 12 décembre 2014 consid. 4.2 et les arrêts cités).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p. 181).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2C_862/2018 du 15 janvier 2019 consid. 3.1 et les arrêts cités).</w:t>
      </w:r>
    </w:p>
    <w:p>
      <w:r>
        <w:rPr>
          <w:b/>
        </w:rPr>
        <w:t>E. 3</w:t>
      </w:r>
    </w:p>
    <w:p>
      <w:r>
        <w:t>A titre liminaire, il faut relever que la demande initiale du recourant, du 7 mai 2015, et celle du 13 août 2019 reposent sur le même fondement juridique, à savoir l'art. 30 al. 1 let. b LEI , disposition qui permet de déroger aux conditions d'admission pour tenir compte d'un cas individuel d'extrême gravité. a) Les ressortissants étrangers ne bénéficient en principe d'aucun droit à l'obtention d'une autorisation de séjour et de travail, sauf s'ils peuvent le déduire d'une norme particulière du droit fédéral ou d'un traité international (ATF 131 II 339 consid. 1, p. 343; 130 II 281 consid. 2.1 p. 284, 493 consid. 3.1 p. 497/498; 128 II 145 consid.</w:t>
      </w:r>
    </w:p>
    <w:p>
      <w:r>
        <w:rPr>
          <w:b/>
        </w:rPr>
        <w:t>E. 4</w:t>
      </w:r>
    </w:p>
    <w:p>
      <w:r>
        <w:t>p. 207 s.). Conformément à l'art. 58a al. 1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L'art. 58a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Ces dispositions sont complétées par l’art. 77e OASA, aux termes duquel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L’art. 77f OASA prescrit par ailleurs: "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a.         en raison d’un handicap physique, mental ou psychique; b.         en raison d’une maladie grave ou de longue durée; c.         pour d’autres raisons personnelles majeures, telles que: 1.         de grandes difficultés à apprendre, à lire et à écrire, 2.         une situation de pauvreté malgré un emploi, 3.         des charges d’assistance familiale à assumer. " Selon les directives du SEM, il peut ainsi être dérogé aux critères d’intégration visés à l’art. 58a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A titre d’exemples, on peut citer le cancer, une maladie mentale, ainsi que de graves troubles de la vue ou de l’ouïe. Dans la mesure du possible, ces situations doivent être documentées par un certificat médical, le cas échéant faire l’objet d’un diagnostic comparé (Domaine des étrangers, état au 1 er novembre 2019, ch. 3.3.1.5.1). La situation des personnes qui assument des charges d’assistance familiale doit être prise en compte lors de l’examen des compétences linguistiques, de la participation à la vie économique ou de l’acquisition d’une formation. Sont visées ici les personnes qui s’occupent d’un membre de la famille qui est dépendant (parent malade, enfant handicapé, etc.), les parents qui éduquent seuls un ou des enfants de moins de 16 ans ou encore le parent qui s’occupe exclusivement du ménage, de l’éducation et de la garde des enfants (ibid., ch. 3.3.1.5.4). La durée du séjour en Suisse constitue également un critère important lors de l'examen d'un cas de rigueur (art. 31 al. 1 let. e OASA).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Le fait que les autorités soient au courant de la présence de l’étranger en Suisse ne change rien au caractère illégal de son séjour (cf. arrêts du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bb) Il est admis, de jurisprudence constante, que l'art. 8 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Après avoir rappelé la position de la CourEDH sur le droit au respect de la vie familiale et le droit au respect de la vie privée, le Tribunal fédéral a précisé et structuré sa jurisprudence relative au droit à une autorisation de séjour fondée sur l' art.</w:t>
      </w:r>
    </w:p>
    <w:p>
      <w:r>
        <w:rPr>
          <w:b/>
        </w:rPr>
        <w:t>E. 8</w:t>
      </w:r>
    </w:p>
    <w:p>
      <w:r>
        <w:t>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p. 271 ss et les références; cf. en outre arrêts du TF 2C_279/2020 du 14 avril 2020 consid. 3.3; 2C_1042/2018 du 26 novembre 2018 consid. 4.1). 4. En l'espèce, dans son dispositif, la décision attaquée déclare irrecevable la demande formée par le recourant, subsidiairement la rejette, ce qui peut prêter à confusion. Il ressort toutefois de la motivation de cette décision que l’autorité intimée n’est pas entrée en matière sur la demande, traitée comme une demande de réexamen de la décision du 4 janvier 2016. La décision du 4 janvier 2016 a été confirmée par l'arrêt de la CDAP du 19 mai 2016 (cause PE.2016.0040) et ne pouvait, en vertu de la jurisprudence précitée (cf. consid. 2b), faire l'objet d'un réexamen. Par conséquent, en tant qu'elle devait être traitée comme une demande de réexamen, la demande du 13 août 2019 devait être déclarée irrecevable pour ce motif. Dans cette mesure, la décision attaquée doit être confirmée par substitution de motif (voir, dans le même sens, arrêt PE.2020.0116 précité, consid. 2b). 5. Par surabondance, l'on retiendra également que c'est à juste titre que le SPOP a déclaré irrecevable la demande du 13 août 2019 faute de faits nouveaux décisifs, pour les motifs suivants. a) Les conditions du réexamen selon l'art. 64 LPA-VD ont été rappelées ci-dessus (consid. 2a). b) En l'occurrence, le recourant soulève trois moyens à l’appui de sa demande. aa) Le recourant fait d’abord valoir sa bonne intégration sociale et professionnelle en Suisse. Dans l’arrêt PE.2016.0040 du 19 mai 2016, la CDAP avait cependant relevé (consid. 3) que l’intégration professionnelle du recourant n’avait rien d'exceptionnel. Depuis lors, aucun élément ne permet de parvenir à une conclusion différente, ce d’autant moins que le recourant n’a jamais été autorisé à travailler en Suisse. Il importe peu sur ce point qu’un tiers employeur soit prêt à l’employer, dès qu’une suite positive sera donnée à sa demande. S’agissant de l’intégration sociale du recourant, cet élément n’est pas nouveau, puisque, dans la cause ayant abouti à l’arrêt précité, ce dernier avait déjà soutenu que son centre de vie et ses intérêts s'étaient totalement déplacés en Suisse; le Tribunal avait du reste déjà pris en compte le fait que ses trois frères et leur famille vivaient désormais en Suisse. Peu importe sur ce point que le recourant possède de bonnes connaissances de la langue française, ce qui, compte tenu de son séjour en Suisse, n’est pas non plus nouveau. Quant à la durée de ce séjour, elle est sans doute longue, puisque dans l’arrêt PE.2016.0040 du 19 mai 2016, la CDAP a retenu que le recourant vivait depuis neuf ans environ. Toutefois, ce séjour n’a pas été ininterrompu, puisqu’il a été ponctué d’allers-et-retours au Kosovo. Surtout, le recourant, a toujours vécu en Suisse de façon illégale et y est demeuré au mépris des interdictions d’entrée et décisions de renvoi prononcées à son encontre, ce que la CDAP avait déjà relevé dans l’arrêt précité. Le fait qu’il soit entré, une nouvelle fois, illégalement en Suisse avant de déposer une nouvelle demande ne permet pas de parvenir à une appréciation différente. De même, cette situation ne lui permet pas de se prévaloir du droit au respect de sa vie privée, tel qu'il est garanti par l'art. 8 par. 1 CEDH. bb) Le recourant met également en avant sa paternité sur l’enfant B.________, qu’il a eu avec sa compagne et aux côtés desquels il vit désormais. Il a entrepris une procédure de reconnaissance de paternité sur cet enfant, dont on ignore l’issue. Quoi qu'il en soit, l’autorité intimée a indiqué dans son courrier du 25 février 2020, sans être contredite, que ni cet enfant, ni sa mère, n’avait de statut légal en Suisse. Il en résulte que le recourant n’est pas fondé à se prévaloir du droit à la protection de la vie familiale découlant de l'art. 8 par. 1 CEDH. cc) Enfin, le recourant explique que sa réintégration au Kosovo serait impossible. Sur ce point également, le Tribunal avait relevé, dans l’arrêt précité, que le recourant avait vécu au Kosovo jusqu’à ses 20 ans, que ses parents y demeuraient encore et que depuis son arrivée en Suisse, il y était retourné très fréquemment, de sorte qu’un retour dans son pays d’origine ne lui poserait pas de difficultés insurmontables. Le recourant se borne à rappeler que ses frères et leur famille vivent en Suisse; il n’apporte aucun élément nouveau qui permettrait d’aboutir à une conclusion différente de celle des juges précédents dans l’arrêt précité. Il ressort par ailleurs de l'extrait d'état civil produit par le recourant (pièce 102), que l'enfant B.________ est ressortissant kosovar, nationalité qui est donc aussi celle de sa mère. L'enfant et sa mère étant de nationalité kosovare, rien n'empêche qu'ils suivent le recourant au Kosovo, pour y vivre en famille. c) Aucun des motifs invoqués par le recourant n’est par conséquent de nature à modifier, dans une mesure juridiquement pertinente, l'état de fait à la base de la décision négative du 4 janvier 2016 et à aboutir à un résultat différent. Les conditions d’un nouvel examen n’étant pas réunies, c’est à juste titre que l’autorité intimée n’est pas entrée en matière sur la demande du recourant et a déclaré celle-ci irrecevable. 6. Enfin, à supposer que la demande du 13 août 2019 ait dû être traitée comme une nouvelle demande – et non comme une demande de réexamen –, l'issue de la procédure serait  la même. En effet, indépendamment de la dénomination de la demande (demande de réexamen ou nouvelle demande), il convient d'examiner si le recourant a fait valoir une modification notable des circonstances ou l'existence de motifs de révision, de nature à imposer un nouvel examen, soit une nouvelle pesée des intérêts (cf. arrêt 2C_862/2018 précité consid. 3.1). Or, pour les raisons indiquées plus haut (consid. 5), les faits nouveaux allégués par le recourant ne sont pas de nature à imposer un nouvel examen. 7. Les considérants qui précèdent conduisent ainsi le Tribunal à rejeter le recours. Le sort du recours commande que les frais de justice soient mis à la charge du recourant (cf.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