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PE.2019.0417 vom 7. Mai 2020</w:t>
      </w:r>
    </w:p>
    <w:p>
      <w:r>
        <w:t>VD Tribunal cantonal, 2020-05-07, FR</w:t>
      </w:r>
    </w:p>
    <w:p>
      <w:r>
        <w:rPr>
          <w:b/>
        </w:rPr>
        <w:t xml:space="preserve">Quelle: </w:t>
      </w:r>
      <w:r>
        <w:t>https://mcp.opencaselaw.ch/entscheid/vd_omni_PE.2019.0417</w:t>
      </w:r>
    </w:p>
    <w:p>
      <w:r>
        <w:t>FR: VD_OMNI PE.2019.0417 du 7 mai 2020</w:t>
      </w:r>
    </w:p>
    <w:p>
      <w:r>
        <w:t>IT: VD_OMNI PE.2019.0417 del 7 maggio 2020</w:t>
      </w:r>
    </w:p>
    <w:p>
      <w:pPr>
        <w:pStyle w:val="Heading2"/>
      </w:pPr>
      <w:r>
        <w:t>Regeste</w:t>
      </w:r>
    </w:p>
    <w:p>
      <w:r>
        <w:t>A.________/Service de la population (SPOP) | Ressortissant italien arrivé en Suisse en juillet 2015. Au bénéfice d'une autorisation de séjour UE/AELE pour exercer une activité lucrative, il a perdu son emploi avec effet immédiat le 13 décembre 2017. Il a reçu des indemnités de chômage jusqu'au 4 janvier 2019, puis a été soutenu par l'aide sociale. Il n'a jamais retrouvé d'emploi. Son autorisation de séjour a été révoquée en application de l'art. 61a al. 4 LEI, à juste titre. Le recourant ne peut pas se prévaloir d'un droit de demeurer (art. 4 al. 1 Annexe I ALCP), ni du droit à la délivrance d'une autorisation de séjour pour personne n'exerçant pas d'activité lucrative (art. 24 Annexe I ALCP), ni d'un droit de séjour fondé sur des circonstances personnelles majeures (art. 20 OLCP).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de sorte qu'il convient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considérants qui précèdent conduisent au rejet du recours et à la confirmation de la décision attaquée. L'autorité intimée impartira un nouveau délai de départ au recourant. Compte tenu de la situation financière du recourant, il se justifie de renoncer à percevoir un émolument de justice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