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PE.2019.0387 vom 20. Mai 2020</w:t>
      </w:r>
    </w:p>
    <w:p>
      <w:r>
        <w:t>VD Tribunal cantonal, 2020-05-20, FR</w:t>
      </w:r>
    </w:p>
    <w:p>
      <w:r>
        <w:rPr>
          <w:b/>
        </w:rPr>
        <w:t xml:space="preserve">Quelle: </w:t>
      </w:r>
      <w:r>
        <w:t>https://mcp.opencaselaw.ch/entscheid/vd_omni_PE.2019.0387</w:t>
      </w:r>
    </w:p>
    <w:p>
      <w:r>
        <w:t>FR: VD_OMNI PE.2019.0387 du 20 mai 2020</w:t>
      </w:r>
    </w:p>
    <w:p>
      <w:r>
        <w:t>IT: VD_OMNI PE.2019.0387 del 20 maggio 2020</w:t>
      </w:r>
    </w:p>
    <w:p>
      <w:pPr>
        <w:pStyle w:val="Heading2"/>
      </w:pPr>
      <w:r>
        <w:t>Regeste</w:t>
      </w:r>
    </w:p>
    <w:p>
      <w:r>
        <w:t>A.________, B.________ et C.________ /Service de l'emploi (SDE), Service de la population (SPOP) | Recours contre une décision du SDE lequel a refusé la demande de permis de séjour avec activité lucrative requise. Ressortissante du Togo, engagée comme garde d'enfants par une famille résidant en Suisse. Les conditions pour l'octroi exceptionnel d'une autorisation de séjour prévues par la LEI ne sont pas satisfaites, la recourante étant ressortissante d'un Etat tiers et ne pouvant faire voir aucune qualification personnelle particulière, ni même une expérience dans le domaine de la garde d'enfants. La famille recourante n'a pas non plus établi qu'elle avait cherché en vain à engager un travailleur indigène ou un ressortissant d'un Etat membre AELE. Recours rejeté.</w:t>
      </w:r>
    </w:p>
    <w:p>
      <w:pPr>
        <w:pStyle w:val="Heading2"/>
      </w:pPr>
      <w:r>
        <w:t>Erwägungen</w:t>
      </w:r>
    </w:p>
    <w:p>
      <w:r>
        <w:rPr>
          <w:b/>
        </w:rPr>
        <w:t>E. 1</w:t>
      </w:r>
    </w:p>
    <w:p>
      <w:r>
        <w:t>Déposé dans le délai de trente jours suivant la notification de la décision litigieuse, le recours est intervenu en temps utile (cf. art. 95 de la loi vaudoise du 28 octobre 2008 sur la procédure administrative [LPA-VD; BLV 173.36]). Par ailleurs, la qualité pour recourir des trois recourants, qui sont tous directement touchés par la décision litigieuse, est incontestable. Au surplus, l'acte de recours respecte les autres conditions formelles de recevabilité (cf. art. 79 LPA-VD par renvoi de l'art. 99 LPA-VD), de sorte qu'il y a lieu d'entrer en matière au fond.</w:t>
      </w:r>
    </w:p>
    <w:p>
      <w:r>
        <w:rPr>
          <w:b/>
        </w:rPr>
        <w:t>E. 2</w:t>
      </w:r>
    </w:p>
    <w:p>
      <w:r>
        <w:t>Le litige porte sur la question de savoir si le SDE a refusé à bon droit d'octroyer l'autorisation de séjour avec activité lucrative sollicitée par A.________ et B.________ pour engager C.________, ressortissante du Togo, en qualité de garde d'enfants.</w:t>
      </w:r>
    </w:p>
    <w:p>
      <w:r>
        <w:rPr>
          <w:b/>
        </w:rPr>
        <w:t>E. 3</w:t>
      </w:r>
    </w:p>
    <w:p>
      <w:r>
        <w:t>a) Les ressortissants étrangers ne bénéfici e nt en principe d'aucun droit à l'obtention d'une autorisation de séjour et de travail, sauf s'ils peuvent le déduire d'une norme particulière du droit fédéral ou d'un traité international (ATF 130 II 281 consid. 2.1; 493 consid. 3.1; 128 II 145 consid. 1.1.1 et les arrêts cités). La recourante 3 étant ressortissante du Togo, il convient d'examiner le recours au regard du droit interne, soit de la LEI. b) Aux termes de l'art. 18 LEI,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LEI). Selon l’art. 21 al. 1 LEI,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L'art. 23 al. 1 LEI relatif aux "qualités personnelles" de la personne étrangère, prévoit que seuls les cadres, les spécialistes ou autres travailleurs qualifiés peuvent obtenir 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 Marc S PESCHA , in Spescha/Thür/Zünd/Bolzli/Hruschka, Migrationsrecht, Berne 2015, p. 99, ch. 1 ad art. 23 LEtr). Il n'en demeure pas moins que le statut de courte durée, comme celui du séjour durable, reste réservé à la main-d'œuvre très qualifiée et qu'il est nécessaire que le travailleur en question ait les connaissances spéciales et les qualifications requises (Message concernant la loi sur les étrangers [ci-après: Message LEtr], du 8 mars 2002, FF 2002 3469, p. 3540). C'est ainsi que l'admission sera, en principe, refusée pour des postes ne requérant aucune formation particulière ( Lisa O TT , in Caroni/Gächter/Turnherr (édit.), Bundesgesetz über die Ausländerinnen und Ausländer, Berne 2010, pp. 179-180, ch. 6 ad art. 23 LEI; cf. TAF C-5184/2014 du 31 mars 2016 consid. 5.4.1). Le ch. 4.3.5 des Directives et commentaires, I. Domaine des étrangers, du Secrétariat d'Etat aux migrations (SEM), état au 1 er avril 2020, précise ce qui suit: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Quant à l'art. 23 al. 3 LEI, il prévoit, en dérogation aux deux premiers alinéas de l'art. 23 LEI, que peuvent être admises notamment les personnes possédant des connaissances ou des capacités professionnelles particulières, si leur admission répond de manière avérée à un besoin (let. c). Peuvent se réclamer de cette disposition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(Message LEtr, p. 3541; cf. TAF arrêt C-5184/2014 précité consid. 5.4.2; CDAP PE.2016.0379 du 5 janvier 2017 consid. 3a; PE.2013.0265 du 19 août 2014 consid. 2c et PE.2013.420 du 13 février 2014 consid. 4d). c) Concernant spécifiquement le personnel de maison, les directives précitées prévoient ce qui suit (ch. 4.7.15.1 et 4.7.15.2): " Des exceptions telles que prévues à l’art. 23, al. 3, LEI, en faveur de personnel de maison, de gardes d’enfants ou de personnel soignant pour les personnes handicapées ou malades peuvent être admises dans certains cas, si les conditions présentées ci-après sont cumulativement remplies. […] Le personnel de maison qui effectue les tâches domestiques et/ou qui a la garde des enfants est considéré comme "qualifié" s'il a déjà été employé, sur la base d'un contrat de travail ordinaire de deux ans au moins, dans la famille (et requérante) qui compte séjourner en Suisse à titre temporaire ou définitif.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Dans le calcul de ce délai, seule la période pendant laquelle le travailleur a été régulièrement admis sur le marché du travail d'un Etat membre de l'UE ou de l'AELE conformément au droit des étrangers de l'Etat concerné peut être prise en considération. Par voie de conséquence, les admissions et périodes de séjour antérieures qui se fondent sur les dispositions du droit d’asile de l’Etat de l’UE/AELE concerné ou sur le Convention de Vienne sur les relations diplomatiques ne peuvent pas être prises en compte. La famille requérante doit en outre prouver qu’elle a déployé les efforts de recrutement requis en Suisse et dans les pays membres de l’UE/AELE." d)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de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(cf. ATF 138 V 50 consid. 4.1 et les références citées). Par ailleurs, selon la jurisprudence constante de la Cour de droit administratif et public ,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(arrêts CDAP PE.2017.0260 du 22 janvier 2018 consid. 3a; PE.2017.0274 du 24 novembre 2017 consid. 3c; PE.2016.0379 du 5 janvier 2017 consid. 2b; PE.2016.0389 du 8 décembre 2016 consid. 2b; PE.2016.0291 du 18 octobre 2016 consid. 4a). En d'autres termes, l'admission de ressortissants d'Etats tiers n'est possible que si, à qualifications égales, aucun travailleur en Suisse ou ressortissant d'un Etat de l'Union européenne (UE) ou de l'AELE ne peut être recruté. Le principe de la priorité des travailleurs résidants doit être appliqué à tous les cas, quelle que soit la situation de l'économie et du marché du travail (cf. Message LEtr, ch. 2.4.2 p. 3538, ad art. 20 du projet de loi; cf. également TAF F-5531/2016 et F-5534/2016 du 2 octobre 2007 consid. 6.2).</w:t>
      </w:r>
    </w:p>
    <w:p>
      <w:r>
        <w:rPr>
          <w:b/>
        </w:rPr>
        <w:t>E. 4</w:t>
      </w:r>
    </w:p>
    <w:p>
      <w:r>
        <w:t>En l'espèce, l'activité pour laquelle la recourante 3 a été engagée ne requiert, sur le principe, pas de qualifications spécifiques. En effet, la garde de l'enfant des recourants 1 et 2 est tout à fait usuelle et n'implique pas la maîtrise de compétences particulières au sens de l'art. 23 LEI. En outre, la recourante 3 n'a jamais travaillé pour la famille employeuse auparavant, de sorte qu'elle ne peut se prévaloir d'une expérience de deux ans au sein de celle-ci. Elle n'apporte pas non plus la preuve d'une expérience spécifique de cinq ans au moins dans ce domaine dans l'un des Etats membres de l'UE/AELE. Dès lors qu'elle ne remplit pas une des conditions permettant d’octroyer exceptionnellement une autorisation de séjour avec activité lucrative en application de l’art. 23 al. 3 let. c LEI au personnel de maison assurant la garde d’enfants - dans le cas d'un nouvel engagement -, c'est à juste titre que le SDE a refusé de délivrer dite autorisation. Certes, comme l'invoquent les recourants, l'aspect personnel revêt un caractère particulièrement important s'agissant de la garde d'un enfant, aussi bien en ce qui concerne la relation de confiance que le respect mutuel entre les parents et la personne chargée de la garde. Cet élément ne saurait toutefois exclure de trouver ces mêmes caractéristiques auprès d'un travailleur indigène ou un ressortissant d'un Etat membre de l'UE/AELE. Au surplus, il ne s'agit pas d'un élément qui peut être pris en considération dans l'appréciation purement économique à laquelle l'autorité doit se livrer. Partant, la décision de l’autorité intimée refusant l’octroi d’une autorisation de travail en faveur de C.________ au motif qu'elle ne peut pas être considérée comme une travailleuse qualifiée respecte le droit fédéral; les conditions d’octroi d’une autorisation de travail selon les art. 18, 21 et 23 LEI ne sont en effet pas remplies.</w:t>
      </w:r>
    </w:p>
    <w:p>
      <w:r>
        <w:rPr>
          <w:b/>
        </w:rPr>
        <w:t>E. 5</w:t>
      </w:r>
    </w:p>
    <w:p>
      <w:r>
        <w:t>Les considérants qui précèdent conduisent au rejet du recours et au maintien de la décision attaquée, aux frais des recourants, qui succombent (art. 46 al. 3 et 49 al. 1 LPA-VD). Il n'y a pas matière à 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