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PE.2019.0376 vom 22. Mai 2020</w:t>
      </w:r>
    </w:p>
    <w:p>
      <w:r>
        <w:t>VD Tribunal cantonal, 2020-05-22, FR</w:t>
      </w:r>
    </w:p>
    <w:p>
      <w:r>
        <w:rPr>
          <w:b/>
        </w:rPr>
        <w:t xml:space="preserve">Quelle: </w:t>
      </w:r>
      <w:r>
        <w:t>https://mcp.opencaselaw.ch/entscheid/vd_omni_PE.2019.0376</w:t>
      </w:r>
    </w:p>
    <w:p>
      <w:r>
        <w:t>FR: VD_OMNI PE.2019.0376 du 22 mai 2020</w:t>
      </w:r>
    </w:p>
    <w:p>
      <w:r>
        <w:t>IT: VD_OMNI PE.2019.0376 del 22 maggio 2020</w:t>
      </w:r>
    </w:p>
    <w:p>
      <w:pPr>
        <w:pStyle w:val="Heading2"/>
      </w:pPr>
      <w:r>
        <w:t>Regeste</w:t>
      </w:r>
    </w:p>
    <w:p>
      <w:r>
        <w:t>A.________/Service de la population (SPOP) | Recours contre la décision refusant la prolongation de l'autorisation de séjour d'un ressortissant congolais qui avait été mis au bénéfice d'une autorisation de séjour par regroupement familial, suite à la séparation du couple. L'union conjugale a duré trois ans mais le recourant n'est pas intégré professionnellement. Il exerce des emplois temporaires et il perçoit les prestations de l'aide sociale (art. 50 al. 1 let. a LEI). Le recourant ne peut pas se prévaloir de raisons personnelles majeures justifiant la poursuite de son séjour en Suisse (art. 50 al. 1 let. b LEI). Rejet du recours. Recours au TF irrecevable (2C_517/2020)</w:t>
      </w:r>
    </w:p>
    <w:p>
      <w:pPr>
        <w:pStyle w:val="Heading2"/>
      </w:pPr>
      <w:r>
        <w:t>Erwägungen</w:t>
      </w:r>
    </w:p>
    <w:p>
      <w:r>
        <w:rPr>
          <w:b/>
        </w:rPr>
        <w:t>E. 1</w:t>
      </w:r>
    </w:p>
    <w:p>
      <w:r>
        <w:t>La décision attaquée peut faire l’objet d’un recours devant la Cour de droit administratif et public du Tribunal cantonal en application des art. 92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3</w:t>
      </w:r>
    </w:p>
    <w:p>
      <w:r>
        <w:t>Les considérants qui précèdent conduisent au rejet du recours et à la confirmation de la décision attaquée. Le recourant qui succombe doit supporter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