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PE.2019.0363 vom 27. Februar 2020</w:t>
      </w:r>
    </w:p>
    <w:p>
      <w:r>
        <w:t>VD Tribunal cantonal, 2020-02-27, FR</w:t>
      </w:r>
    </w:p>
    <w:p>
      <w:r>
        <w:rPr>
          <w:b/>
        </w:rPr>
        <w:t xml:space="preserve">Quelle: </w:t>
      </w:r>
      <w:r>
        <w:t>https://mcp.opencaselaw.ch/entscheid/vd_omni_PE.2019.0363</w:t>
      </w:r>
    </w:p>
    <w:p>
      <w:r>
        <w:t>FR: VD_OMNI PE.2019.0363 du 27 février 2020</w:t>
      </w:r>
    </w:p>
    <w:p>
      <w:r>
        <w:t>IT: VD_OMNI PE.2019.0363 del 27 febbraio 2020</w:t>
      </w:r>
    </w:p>
    <w:p>
      <w:pPr>
        <w:pStyle w:val="Heading2"/>
      </w:pPr>
      <w:r>
        <w:t>Regeste</w:t>
      </w:r>
    </w:p>
    <w:p>
      <w:r>
        <w:t>A.________/Service de la population (SPOP) | Les conditions de la demande de nouvel examen du recourant, ressortissant kosovar qui s'est vu refuser la prolongation de son autorisation de séjour et ce, de manière définitive, ne sont pas réunies. Son état de santé a déjà été évoqué dans la précédente procédure et aucun élément n'indique que le traitement qui lui est prescrit ne serait pas disponible au Kosovo et ne pourrait pas être suivi s'il était renvoyé vers son pays d'origine. A supposer que l'état de santé de son épouse se soit aggravé, il a déjà été indiqué, dans la procédure précédente, que la poursuite de son séjour en Suisse était d’autant moins compromise que les trois enfants du couple y vivent, de sorte qu'il appartiendra à ces derniers de s’organiser en conséquence pour apporter à leur mère l’assistance dont elle a besoin. Recours partiellement admis pour fixer un nouveau délai de départ tenant compte de l'intervention chirurgicale subie par le recourant.</w:t>
      </w:r>
    </w:p>
    <w:p>
      <w:pPr>
        <w:pStyle w:val="Heading2"/>
      </w:pPr>
      <w:r>
        <w:t>Erwägungen</w:t>
      </w:r>
    </w:p>
    <w:p>
      <w:r>
        <w:rPr>
          <w:b/>
        </w:rPr>
        <w:t>E. 1</w:t>
      </w:r>
    </w:p>
    <w:p>
      <w:r>
        <w:t>a) Aux termes de l'art. 92 al. 1 de la loi cantonale du 28 octobre 2008 sur la procédure administrative (LPA-VD; BLV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et 96 al. 1 let. a LPA-VD), selon les formes prescrites par la loi (art. 79 al. 1 et 99 LPA-VD), le recours est formellement recevable, de sorte qu'il y a lieu d'entrer en matière sur le fond.</w:t>
      </w:r>
    </w:p>
    <w:p>
      <w:r>
        <w:rPr>
          <w:b/>
        </w:rPr>
        <w:t>E. 2</w:t>
      </w:r>
    </w:p>
    <w:p>
      <w:r>
        <w:t>A titre de mesure d’instruction, le recourant a requis la tenue d’une audience, afin de pouvoir s’expliquer oralement et de faire entendre des témoins. a) On rappelle que devant la CDAP, la procédure est en principe écrite (art. 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sauf disposition expresse contraire, les parties ne peuvent prétendre être auditionnées par l'autorité (cf. art. 33 al. 2 LPA-VD). Ces dispositions valent du reste aussi bien pour la procédure devant l’autorité de décision que pour la procédure de recours.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d'être entendu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68 consid. 9.6.1 p. 76; 131 I 153 consid. 3 p. 157; 130 II 425 consid. 2.1 p. 429; 124 I 241 consid. 2 p. 242, et les arrêts cités). b) En l’occurrence, il n’y a pas lieu de donner suite à la mesure d’instruction requise. Comme on le verra ci-dessous, le litige a exclusivement trait à la recevabilité ou non de la demande de nouvel examen d’une décision entrée en force, dont le recourant a saisi l’autorité intimée. Le recourant a pu s’exprimer et joindre des pièces à l’appui de ses conclusions; il a produit des attestations médicales sur lesquelles on reviendra plus loin. Après avoir pris connaissance de la réponse, il a complété ses premières explications et s’est exprimé en dernier lieu par écrit.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 afin que le recourant puisse s’exprimer par oral et que la déposition d’éventuels témoins soit recueillie.</w:t>
      </w:r>
    </w:p>
    <w:p>
      <w:r>
        <w:rPr>
          <w:b/>
        </w:rPr>
        <w:t>E. 3</w:t>
      </w:r>
    </w:p>
    <w:p>
      <w:r>
        <w:t>Le recourant fait grief à l’autorité intimée de ne pas avoir accueilli sa demande de nouvel examen (ou de reconsidération) de la décision négative du 28 août 2018, définitive et exécutoire. a) La jurisprudence a déduit des garanties générales de procédure de l'art. 29 al. 1 et 2 de la Constitution fédérale de la Confédération suisse du 18 avril 1999 (Cst.;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(ATF 136 II 177 consid. 2.1 p. 181; 129 V 200 consid. 1.1 p. 202; 120 Ib 42 consid. 2b p. 46/47, et les arrêts cités). La demande de réexamen (aussi appelée demande de nouvel examen ou de reconsidération) est adressée à une autorité administrative en vue d'obtenir l'annulation ou la modification d'une décision qu'elle a prise (v. ATAF 2010/5 du 5 février 2010, consid. 2.1.1, références citées).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(cf. ATF 136 II 177 consid. 2.1; arrêts du Tribunal fédéral 2C_1/2015 du 13 février 2015 consid. 4.2; 2C_225/2014 du 20 mars 2014 consid. 5.1 et les références). b) Ces principes sont rappelés à l'art. 64 LPA-VD, à teneur duquel: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visée à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 postérieurement (arrêts PE.2018.0413 du 16 janvier 2019 consid. 6a; PE.2017.0028 du 22 février 2017 consid. 2a; PE.2016.0212 du 1 er février 2017 consid. 3b; PE.2016.0390 du 11 janvier 2017 consid. 2a; PE.2016.0351 du 23 décembre 2016 consid. 2a). Les faits et les moyens de preuve invoqués dans le cadre des hypothèses visées à l'art. 64 al. 2 let. a et b LPA-VD, doivent être "importants" , soit de nature à modifier l'état de fait à la base de l'acte attaqué et à aboutir à un résultat différent en fonction d'une appréciation juridique correcte (cf. arrêt PE.2010.0620 du 30 mars 2011 consid. 3a et les références). En outre, à teneur de l’art. 65 al. 1 LPA-VD, si le requérant entend invoquer l'un des moyens mentionnés à l'article 64, alinéa 2, lettres b) et c), il doit déposer sa demande dans les nonante jours dès la découverte dudit moyen. c)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 droit des étrangers n'échappe pas à cette règle (arrêts 2C_481/2013 du 30 mai 2013 consid. 2.2; 2C_1007/2011 du 13 mars 2012 consid. 4.2 avec renvoi à l'ATF 136 II 177 consid. 2.1 p. 181). En revanche, lorsque l’autorité entre en matière et après réexamen, rend une nouvelle décision au fond, ce prononcé peut faire l'objet d'un recours pour des motifs de fond, au même titre que la décision initiale (ATF 113 Ia 416 consid. 3c; ATAF 2010/5, déjà cité, consid. 2.1.1).</w:t>
      </w:r>
    </w:p>
    <w:p>
      <w:r>
        <w:rPr>
          <w:b/>
        </w:rPr>
        <w:t>E. 4</w:t>
      </w:r>
    </w:p>
    <w:p>
      <w:r>
        <w:t>En l’occurrence, dans son dispositif, la décision ci-devant attaquée, du 3 septembre 2019, déclare la demande de nouvel examen formée le recourant irrecevable, subsidiairement la rejette, ce qui peut prêter à confusion. Il ressort toutefois de la motivation de cette décision qu'il s'agit en réalité d'un raisonnement alternatif. En pareil cas, la Cour se limitera à déterminer si le refus d'entrer en matière sur la demande de réexamen était en l’occurrence légitime ou non. Le recourant fait valoir en substance que son état de santé et celui de son épouse se seraient dégradés depuis que la décision refusant de prolonger son autorisation de séjour est devenue définitive et est entrée en force. Il soutient à cet égard que le refus de l’autorité intimée de prolonger son autorisation de séjour contreviendrait en quelque sorte au principe de proportionnalité, au sens où l’entend l’art. 96 al. 1 de la loi fédérale du 16 décembre 2005 sur les étrangers (LEtr; depuis le 1 er janvier 2019, loi fédérale sur les étrangers et l’intégration [LEI; RS 142.20]), dans la mesure où son intérêt privé à demeurer en Suisse l’emporterait dorénavant sur l’intérêt public à son éloignement. a) Le recourant a déjà évoqué son propre état de santé dans la procédure; il explique que son état se serait aggravé depuis lors et se prévaut des attestations médicales produites à l’appui de sa demande. On en retire qu’il souffre d’une neuropathie cubitale du côté gauche et d’une compression du nerf ulnaire, nécessitant une intervention chirurgicale. Au bénéfice de l’effet suspensif dont son recours a été assorti, il a cependant pu demeurer en Suisse et y subir une opération de la main et du coude, le 3 février 2020. Le recourant évoque en outre une opération de la nuque, prévue durant l’année 2020, sans toutefois en indiquer davantage. Toutefois, les problèmes de santé du recourant n'atteignent pas un degré de gravité tel qu'ils nécessiteraient des soins permanents ou des mesures médicales ponctuelles d'urgence pouvant conduire à la reconnaissance d'un cas individuel d'extrême gravité (cf. ATF 128 II 200 consid. 5.3; A TAF F-6860/2016 du 6 juillet 2018 consid. 5.2.2; CDAP PE.2018.0318 du 28 janvier 2019 consid. 3a et les références). Du reste, le recourant, dont la capacité de travail est de 50%, n’hésite pas à mettre également en avant, à l’appui de sa demande, l’importance de l’activité de cuisinier qu’il exerce dans l’établissement public exploité par son fils et le salaire qu’il en retire. Il faut en déduire que le recourant a été capable jusqu’à présent de travailler à mi-temps et aucun élément du dossier ne permet de retenir que sa capacité de travail serait durablement altérée en raison de ses problèmes de santé. Il n'en va pas différemment des troubles psychiques qu’il présente au demeurant et qui sont d'ailleurs intimement liés à la menace du renvoi qui pèse sur lui depuis plusieurs années. Or, selon la jurisprudence, on ne saurait de manière générale prolonger indéfiniment le séjour d'un étranger en Suisse au seul motif que la perspective d'un retour exacerberait un état psychologique perturbé, voire réveillerait des idées de suicides. De telles réactions sont en effet couramment observées chez les personnes confrontées à l'imminence d'un renvoi ou devant faire face à l'incertitude de leur statut en Suisse; il appartient donc aux thérapeutes de prendre les mesures adéquates pour préparer leurs patients à la perspective d'un retour, respectivement aux autorités d'exécution de vérifier le besoin de mesures particulières que requerrait leur état lors de l'organisation du renvoi (cf. ATAF E-6321/2018 du 19 novembre 2018; E-2812/2016 du 13 février 2018 consid. 5.5.6; D-5886/2016 du 20 novembre 2017 consid. 8.5.1; CDAP PE.2017.0163 du 8 novembre 2017 consid. 4d/bb et les références). Le recourant a, certes, produit une attestation médicale du Dr K.________, du 12 septembre 2019, dont il ressort qu’une intervention chirurgicale dans son pays d’origine n’est pas envisageable. On relève cependant que le recourant avait la faculté de produire une telle attestation dans la procédure ordinaire antérieure, ceci d’autant plus qu’il évoquait déjà son état de santé pour s’opposer à son éloignement. En outre, le recourant dispose toujours de la faculté de requérir l’octroi d’un visa d’entrée et de séjour en Suisse, si la poursuite de son traitement médical l’exigeait, conformément à l’art. 29 LEI, voire pour y subir une intervention chirurgicale (dans le même sens, arrêt PE.2017.0138 du 21 août 2017, confirmé par arrêt 2C_812/2017 du 30 janvier 2018). Pour le surplus, rien n'indique que le traitement prescrit au recourant, qui consiste essentiellement en la prise de médicaments et des consultations régulières, ne pourraient être poursuivis au Kosovo, étant rappelé que le seul fait d'obtenir en Suisse des prestations médicales supérieures à celles offertes dans le pays d'origine ne suffit pas à justifier une exception aux mesures de limitation (cf. ATF 128 II 200 consid. 5.3; ATAF F-6860/2016 du 6 juillet 2018 consid. 5.2.2; CDAP PE.2018.0318 du 28 janvier 2019 consid. 3a et les références). Par conséquent, même si l’on retient que le fait invoqué par le recourant est nouveau, ce qui est douteux, il n’est de toute façon pas de nature à modifier l'état de fait à la base de la décision attaquée. b) Le recourant fait en outre valoir l’aggravation de l’état de santé de son épouse. Il se fonde à cet égard sur les attestations de la Dresse H.________, des 31 juillet et 20 novembre 2019, ainsi que sur les rapports des médecins du Centre de psychiatrie et de psychothérapie ********, des 20 septembre et 28 novembre 2019. Il explique à cet égard que B.________ devra le suivre au Kosovo pour le cas où il était renvoyé, dans la mesure où elle est totalement dépendante de lui. Or, il rappelle que cette dernière ne pourrait pas recevoir dans son pays d’origine tous les soins requis par son état de santé. Le recourant se prévaut par ailleurs de ce que B.________ serait, dans cette hypothèse, privée du soutien de ses enfants demeurés en Suisse. Sur ce point également, à supposer que l’état de santé de B.________ se soit effectivement aggravé et que la circonstance invoquée par le recourant soit nouvelle, elle n’est de toute façon pas déterminante. Le recourant perd de vue que dans ses arrêts précédents, la CDAP a longuement évoqué la situation médicale de B.________; on ne peut que renvoyer à ce qui a déjà été écrit. Or, la CDAP a retenu en dernier lieu, dans l’arrêt PE.2018.0378, déjà cité (consid. 5b), qu’à supposer que l’on ne puisse attendre de B.________ qu’au vu de son état de santé, elle suive le recourant au Kosovo, la poursuite de son séjour en Suisse est d’autant moins compromise que ses trois enfants y vivent. Il a en outre été rappelé qu’il appartiendrait, en pareil cas, à ses enfants de s’organiser en conséquence pour apporter à leur mère l’assistance dont elle a besoin. Dans son arrêt 2C_278/2019 du 27 mai 2019, le Tribunal fédéral n’a pas remis en cause la pesée des intérêts effectuée par la CDAP dans l’arrêt PE.2018.0378 sur la base de ces éléments (consid. 5). Les explications fournies par le recourant ne permettent en tout cas pas de modifier cette appréciation et d’aboutir à un résultat différent. c) Quant aux autres arguments avancés à l’appui de la demande, à savoir le salaire que le recourant retire de son activité de cuisinier dans le restaurant de son fils, le remboursement de ses dettes et la récupération de son permis de conduire, on ne voit pas qu’ils puissent concrètement conduire l’autorité intimée à revenir sur son refus définitif de prolonger le titre de séjour du recourant et sur le renvoi de ce dernier. d) Les conditions d’un nouvel examen de la décision du 28 août 2018 n’étant pas réunies, c’est à juste titre que l’autorité intimée n’est pas entrée en matière sur la demande du recourant et a déclaré celle-ci irrecevable.</w:t>
      </w:r>
    </w:p>
    <w:p>
      <w:r>
        <w:rPr>
          <w:b/>
        </w:rPr>
        <w:t>E. 5</w:t>
      </w:r>
    </w:p>
    <w:p>
      <w:r>
        <w:t>Pour le surplus, le Tribunal prend acte de ce que la décision attaquée sera de toute façon modifiée, en ce sens qu’un nouveau délai de départ sera imparti au recourant, en considération de l’intervention chirurgicale qu’il a subie le 3 février 2020.</w:t>
      </w:r>
    </w:p>
    <w:p>
      <w:r>
        <w:rPr>
          <w:b/>
        </w:rPr>
        <w:t>E. 6</w:t>
      </w:r>
    </w:p>
    <w:p>
      <w:r>
        <w:t>a) Les considérants qui précèdent conduisent par conséquent à admettre très partiellement le recours et à annuler la décision attaquée, uniquement en tant qu’elle enjoint au recourant de quitter immédiatement la Suisse. La cause sera renvoyée à l’autorité intimée pour fixation d’un nouveau délai, conformément au considérant qui précède. Dite décision sera au surplus confirmée. b) Nonobstant l’issue du recours, un émolument judiciaire sera mis à la charge du recourant (art. 49 al. 1, 91 et 99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