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PE.2019.0361 vom 11. März 2019</w:t>
      </w:r>
    </w:p>
    <w:p>
      <w:r>
        <w:t>VD Tribunal cantonal, 2019-03-11, FR</w:t>
      </w:r>
    </w:p>
    <w:p>
      <w:r>
        <w:rPr>
          <w:b/>
        </w:rPr>
        <w:t xml:space="preserve">Quelle: </w:t>
      </w:r>
      <w:r>
        <w:t>https://mcp.opencaselaw.ch/entscheid/vd_omni_PE.2019.0361</w:t>
      </w:r>
    </w:p>
    <w:p>
      <w:r>
        <w:t>FR: VD_OMNI PE.2019.0361 du 11 mars 2019</w:t>
      </w:r>
    </w:p>
    <w:p>
      <w:r>
        <w:t>IT: VD_OMNI PE.2019.0361 del 11 marzo 2019</w:t>
      </w:r>
    </w:p>
    <w:p>
      <w:pPr>
        <w:pStyle w:val="Heading2"/>
      </w:pPr>
      <w:r>
        <w:t>Regeste</w:t>
      </w:r>
    </w:p>
    <w:p>
      <w:r>
        <w:t>A._________/Service de la population (SPOP) | Recours d'une ressortissante serbe contre la décision du SPOP déclarant irrecevable, respectivement rejetant sa demande de réexamen. Suite à la confirmation par la CDAP de la décision initiale de renvoi, la recourante a souffert d'une pathologie grave présentant un risque de mortalité de plus de 40% en l'absence de suivi médical de pointe. Elle a également souffert de complications importantes suite à une intervention chirurgicale et des investigations supplémentaires sont en cours. Non représentée et ne maîtrisant pas le français, la recourante n'a fourni les informations qui précèdent et les documents médicaux y relatifs que dans le cadre de la présente procédure. N'ayant pas eu connaissance de ces éléments au moment de statuer, on ne peut reprocher à l'autorité intimée d'avoir retenu qu'il n'existait pas de motif de réexamen. Une fois ces informations connues, le SPOP a toutefois maintenu sa décision et précisé qu'il proposerait l'admission provisoire de l'intéressée vu son état de santé. Admission du recours et renvoi de la cause à l'autorité intimée pour complément d'instruction concernant l'état de santé de la recourante et son évolution probable, afin de statuer sur l'existence d'un éventuel cas de rigueur.</w:t>
      </w:r>
    </w:p>
    <w:p>
      <w:pPr>
        <w:pStyle w:val="Heading2"/>
      </w:pPr>
      <w:r>
        <w:t>Erwägungen</w:t>
      </w:r>
    </w:p>
    <w:p>
      <w:r>
        <w:rPr>
          <w:b/>
        </w:rPr>
        <w:t>E. 1</w:t>
      </w:r>
    </w:p>
    <w:p>
      <w:r>
        <w:t>Interjeté en temps utile (art. 95 LPA-VD), le recours satisfait de plus aux autres conditions formelles de recevabilité, de sorte qu'il y a lieu d'entrer en matière sur le fond.</w:t>
      </w:r>
    </w:p>
    <w:p>
      <w:r>
        <w:rPr>
          <w:b/>
        </w:rPr>
        <w:t>E. 2</w:t>
      </w:r>
    </w:p>
    <w:p>
      <w:r>
        <w:t>a) D'emblée, on rappellera que la jurisprudence fait preuve d'une relative souplesse en ce qui concerne tant la formulation des conclusions que la motivation des recours . Il n'est ainsi pas exigé que les conclusions soient formulées explicitement , quand elles résultent clairement des motifs allégués; il suffit en définitive que l'on puisse déduire de l'acte de recours sur quel(s) point(s) et pour quelle(s) raison(s) la décision attaquée est contestée (arrêts PS.2019.0003 du 23 août 2019 consid. 1; PS.2018.0093 du 14 août 2019 consid. 1 et AC.2016.0451 du 19 décembre 2018 consid. 1b; cf . ég. arrêt du Tribunal fédéral [TF] 2C_821/2017 du 23 mars 2018 consid. 4.3 et les références, rappelant d'une façon générale que " l'interdiction du formalisme excessif commande en particulier de ne pas se montrer trop strict dans l'examen de la formulation des conclusions si, à la lecture du mémoire, on comprend clairement ce que veut le recourant "). b) Confus et lapidaire en raison de la méconnaissance du français de la recourante et de l'absence de mandataire professionnel, le mémoire de recours n'en manifeste pas moins clairement la volonté de l'intéressée de recourir contre le refus de l'autorité intimée de réexaminer sa décision, respectivement de rejeter sa demande. Par ailleurs, si la recourante ne l'a certes pas expressément mentionné, le fait d'indiquer à l'autorité intimée qu'elle était tombée malade et suivait un traitement médical et, dans le cadre de la présente procédure, de fournir des documents médicaux attestant d'une très grave atteinte à sa santé, devait être compris comme la sollicitation d'une autorisation de séjour pour cas de rigueur et non plus seulement pour regroupement familial.</w:t>
      </w:r>
    </w:p>
    <w:p>
      <w:r>
        <w:rPr>
          <w:b/>
        </w:rPr>
        <w:t>E. 3</w:t>
      </w:r>
    </w:p>
    <w:p>
      <w:r>
        <w:t>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 plus précisément, après l'ultime délai dans lequel, suivant la procédure applicable, ils pouvaient encore être invoqués. Par ailleurs, les faits et moyens de preuve invoqués doivent être importants, c'est-à-dire de nature à modifier l'état de fait à la base de l'acte attaqué et à aboutir à un résultat différent en fonction d'une appréciation juridique correcte (arrêts PE.2019.0295 du 7 janvier 2020 consid. 3a; PE.2019.0409 du 6 janvier 2020 consid. 2b et PE.2018.0506 du 8 novembre 2019 consid. 4c/bb). b) Lorsque l'autorité administrative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(arrêts PE.2018.0506 du 8 novembre 2019 consid. 4c/bb; PE.2019.0041 du 31 juillet 2019 consid. 2b; GE.2018.0186 du 18 juin 2019 consid. 1b). c) En l'espèce, il convient de relever qu'ayant été dûment invitée, par l'autorité intimée à indiquer les éléments pertinents de nature à justifier un réexamen de la décision du 24 avril 2018, la recourante n'a pas procédé dans le délai imparti. Au moment où elle a rendu la décision du 18 septembre 2019, l'autorité intimée n'avait ainsi connaissance d'aucun fait nouveau justifiant un réexamen au sens de l'art. 64 LPA-VD, de sorte que c'est à bon droit qu'elle a déclaré irrecevable, respectivement rejeté la demande de la recourante et confirmé son refus de lui octroyer une autorisation de séjour pour regroupement familial. Dans le cadre de la présente procédure toutefois, l'intéressée a étayé ses affirmations en fournissant des documents médicaux qui attestent qu'elle a souffert, au printemps 2019, d'une affection grave présentant un taux de mortalité élevé ayant nécessité des interventions chirurgicales et un suivi médical de pointe par la suite. Des investigations et examens supplémentaires devaient en outre être réalisés récemment afin d'établir d'éventuelles autres atteintes à la santé de l'intéressée. Ces motifs ont poussé l'autorité intimée à annuler le délai de départ imparti dans la décision entreprise et proposer son admission provisoire au SEM. Elle a pour le reste " mainten [u] [sa] décision de refus de réexamen de [sa] décision du 24 avril 2018 refusant de lui accorder une autorisation de séjour au titre du regroupement familial pour des motifs d'aide sociale et prononçant son renvoi de Suisse ". Ce faisant, l'autorité intimée a considéré à tort qu'il n'existait pas de motifs justifiant le réexamen de la décision entreprise. En effet, il s'avère que la situation médicale de l'intéressée s'est subitement détériorée postérieurement à la confirmation par le tribunal de céans, le 4 décembre 2018, de la décision du 24 avril 2018. Le SPOP a par ailleurs expressément reconnu la gravité et l'importance de la problématique médicale de la recourante qui persistait dans le temps, ce qui l'a conduite à annuler le délai de départ imparti et à proposer son admission provisoire pour raison de santé. En d'autres termes, ces faits nouveaux sont importants et doivent être qualifiés de vrais nova , ce qui impose à l'autorité intimée d'entrer en matière sur la demande. Certes, les nouveaux motifs n'ont pas d'incidence sur le refus de délivrer une autorisation de séjour pour regroupement familial à la recourante, comme mentionné par l'autorité intimée. Néanmoins, ils pourraient éventuellement avoir un impact s'agissant d'une autorisation pour cas d'extrême gravité – du reste implicitement sollicitée par la recourante ( cf . consid. 2b ci-dessus) –, ce d'autant plus qu'ils justifient à tout le moins, selon le SPOP, de proposer au SEM l'admission provisoire de l'intéressée. Le statut de l'étranger n'est cependant pas le même selon qu'il se trouve au bénéfice d'une autorisation pour cas individuel d'extrême gravité ou qu'il est admis provisoirement, raison pour laquelle il n'était pas possible d'omettre l'hypothèse d'un cas de rigueur. Or, si l'on ne peut reprocher à l'autorité intimée de n'avoir pas examiné cette question dans le cadre de la décision entreprise, étant rappelé que la recourante n'avait à ce stade fourni aucun document justifiant de son état de santé, il s'avère qu'elle ne s'est toutefois pas prononcée sur ce point dans les écritures déposées à l'occasion de la présente procédure, soit après avoir pris connaissance des documents médicaux versés à la procédure. Pour statuer en connaissance de cause sur cette problématique, il apparaît de surcroît nécessaire d'établir la situation médicale actuelle et future de la recourante avec plus de précision. En effet, le médecin-chirurgien a notamment précisé, dans son attestation du 30 septembre 2019, que la recourante devrait à terme pouvoir exercer une activité lucrative, ce qui implique qu'une amélioration de son état de santé a pu ou pourrait avoir lieu. Le même praticien a également indiqué que des investigations supplémentaires étaient en cours et qu'il tiendrait les rapports médicaux y relatifs à disposition des autorités, ce qui pourrait également avoir une incidence s'agissant du cas individuel d'extrême gravité invoqué par la recourante. L'évolution de l'état de santé de cette dernière depuis l'épisode critique du printemps 2019 pourrait enfin apporter une réponse différente à la question de savoir si des soins sont disponibles dans son pays d'origine. En bref, le cas d'espèce nécessite une instruction complémentaire.</w:t>
      </w:r>
    </w:p>
    <w:p>
      <w:r>
        <w:rPr>
          <w:b/>
        </w:rPr>
        <w:t>E. 4</w:t>
      </w:r>
    </w:p>
    <w:p>
      <w:r>
        <w:t>Au vu des considérants qui précèdent, le recours est admis et la décision attaquée annulée, la cause étant renvoyée à l'autorité intimée pour nouvelle décision dans le sens des considérants. Malgré l'admission du recours, il se justifierait de mettre les frais à la charge de la recourante dans la mesure où elle n'a pas fourni les informations et documents requis par l'autorité intimée dans le cadre de l'instance précédente et l'a, de ce fait, empêchée de statuer en connaissance de cause (art. 40 al. 2 LPA-VD). Vu la situation extrêmement précaire de l'intéressée, il sera néanmoins statué sans frais (art. 50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