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PE.2019.0358 vom 1. Juli 2020</w:t>
      </w:r>
    </w:p>
    <w:p>
      <w:r>
        <w:t>VD Tribunal cantonal, 2020-07-01, FR</w:t>
      </w:r>
    </w:p>
    <w:p>
      <w:r>
        <w:rPr>
          <w:b/>
        </w:rPr>
        <w:t xml:space="preserve">Quelle: </w:t>
      </w:r>
      <w:r>
        <w:t>https://mcp.opencaselaw.ch/entscheid/vd_omni_PE.2019.0358</w:t>
      </w:r>
    </w:p>
    <w:p>
      <w:r>
        <w:t>FR: VD_OMNI PE.2019.0358 du 1 juillet 2020</w:t>
      </w:r>
    </w:p>
    <w:p>
      <w:r>
        <w:t>IT: VD_OMNI PE.2019.0358 del 1 luglio 2020</w:t>
      </w:r>
    </w:p>
    <w:p>
      <w:pPr>
        <w:pStyle w:val="Heading2"/>
      </w:pPr>
      <w:r>
        <w:t>Regeste</w:t>
      </w:r>
    </w:p>
    <w:p>
      <w:r>
        <w:t>A.________/Service de la population (SPOP) | Ressortissant tunisien, le recourant avait obtenu un permis de séjour en Suisse au titre du regroupement familial ensuite de son mariage avec sa première épouse, suissesse, puis après son divorce, ensuite de son remariage avec une ressortissante communautaire, elle-même au bénéfice d'un permis de séjour UE/AELE. Or, les époux vivent durablement séparés et il n'y a plus de domicile conjugal; le mariage n’existe plus que formellement, de sorte que le recourant n’est pas fondé à retirer des dispositions de l'ALCP un droit à une autorisation de séjour. Sur le plan du droit interne, la vie commune entre les époux n’a duré qu’un an, cinq mois et sept jours et aucun élément du dossier ne permet de retenir, en dépit des explications du recourant, qu’elle aurait repris depuis lors. Refusant de régulariser sa situation vis-à-vis des autorités, le recourant, qui a perdu son emploi, a requis en vain l’octroi du revenu d’insertion et perçoit l’aide d’urgence. En dépit d’un séjour de plus de dix ans, le recourant, qui n'est pas suffisamment intégré, n'est pas fondé à invoquer la protection de la vie privée pour obtenir la prolongation de son autorisation de séjour. Il ne représente pas non plus un cas de rigueur. L'autorité intimée n'a donc pas abusé de sa liberté d'appréciation en refusant de prolonger son titre de séjour et en prononçant son renvoi. Recours contre l'arrêt cantonal rejeté par arrêt TF 2C_789/2020 du 3 décembre 2020.</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La loi fédérale du 16 décembre 2005 sur les étrangers ([LEtr]; depuis le 1 er janvier 2019: loi fédérale sur les étrangers et l'intégration [LEI; RS 142.20]) et ses ordonnances d’application ne sont applicables aux membres de la famille des ressortissants des Etats membres de la Communauté européenne que dans la mesure où l'Accord entre la Confédération suisse, d'une part, et la Communauté européenne et ses Etats membres, d'autre part, sur la libre circulation des personnes, conclu le 21 juin 1999 (ALCP; RS 0.142.112.681) n'en dispose pas autrement ou lorsque la loi fédérale prévoit des dispositions plus favorables (art. 2 al. 2 LEI). b) En l'occurrence, dans la mesure où le recourant a été mis au bénéfice d'une autorisation de séjour CE/AELE à la suite de son mariage avec C.________, citoyenne de l’UE établie en Suisse, il y a lieu d'examiner en premier lieu si le recourant est susceptible de se prévaloir d'un droit de séjour en Suisse en application des dispositions de l'ALCP.</w:t>
      </w:r>
    </w:p>
    <w:p>
      <w:r>
        <w:rPr>
          <w:b/>
        </w:rPr>
        <w:t>E. 2.4</w:t>
      </w:r>
    </w:p>
    <w:p>
      <w:r>
        <w:t>p. 149; arrêts 2C_20/2019 du 13 mai 2019 consid. 7.3; 2C_158/2019 du 12 avril 2019 consid. 5.3 et 2C_633/2018 du 13 février 2019 consid. 7.1). b) On relève à cet égard que le recourant émarge actuellement à l'aide sociale et n'a aucune perspective professionnelle, il est dès lors très probable qu'il en dépende durablement. Une prolongation de son séjour en Suisse pèserait sur les finances publiques. Il existe donc un intérêt public important à l'éloignement du recourant (dans ce sens, arrêt 2C_126/2020 du 12 mai 2020 consid. 6.4, s’agissant d’un ressortissant étranger bénéficiant de l’aide sociale et ayant fait l’objet de huit condamnations pénales). c) Au vu de ce qui précède, l’autorité intimée n’a pas abusé du pouvoir d’appréciation qui lui est reconnu en la présente espèce en révoquant l’autorisation de séjour du recourant, dont les conditions ne sont plus remplies, et en lui enjoignant de quitter la Suisse. 7. Les considérants qui précèdent conduisent le Tribunal à rejeter le recours et à confirmer la décision attaquée. Nonobstant le sort du recours, le présent arrêt sera rendu sans frais (art. 49, 50, 91 et 99 LPA-VD). Au surplus, l’allocation de dépens n’entre pas en ligne de compte (art. 55 al. 1, a contrario, 56 al. 3, 91 et 99 LPA-VD).</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 conjoint d'une personne ressortissant d'une partie contractante ayant un droit de séjour et leurs descendants ont le droit de s'installer avec elle (art. 7 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b) En principe, le droit de séjour du conjoint du détenteur du droit originaire ne s’éteint pas en cas de séparation - même durable - des époux; ce droit perdure aussi longtemps que le mariage n'est pas dissous juridiquement (divorce ou décès; cf. Secrétariat d’Etat aux migrations [SEM], Directives et commentaires concernant l'introduction progressive de la libre circulation des personnes [Directives OLCP], état au 1 er avril 2020, ch. 9.4.2). Cependant, l'art. 3 annexe I ALCP ne protège pas les mariages fictifs, et en outre,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(ATF 144 II 1 consid. 3.1 p. 4; 139 II 393 consid. 2.1 p. 395; 130 II 113 consid. 9.4 p. 134; arrêts du Tribunal fédéral 2C_20/2019  du 13 mai 2019 consid. 5.1; 2C_560/2017 du 8 septembre 2017 consid. 3.1; 2C_536/2016 du 13 mars 2017 consid. 2.3).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et les réf. cit.; CDAP PE.2013.0077 du 24 mars 2014 consid. 3a/aa et la réf. cit.). Selon la jurisprudence relative à l'art. 7 al. 1 aLSEE,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En cas d'abus de droit, il y a lieu de révoquer l'autorisation ou d'en refuser la prolongation (cf. art. 23 al. 1 de l'ordonnance fédérale du 22 mai 2002 sur l'introduction de la libre circulation des personnes [OLCP; RS 142.203], en relation avec l'art. 62 al. 1 let. d LEI). La condition de révocation prévue par cette dernière disposition est également remplie lorsque le but du séjour ne correspond pas ou plus à celui pour lequel l'autorisation a été délivrée (arrêt du Tribunal fédéral 2C_128/2015 du 25 août 2015 consid. 3.3 et 3.6 et les réf. cit.). c) Dans le cas d’espèce, le recourant et son épouse vivent séparés depuis le 30 novembre 2016. Une convention de séparation a du reste été ratifiée par le juge le 30 janvier 2019 et les conjoints se sont mis d'accord pour que l’épouse du recourant demeure dans le logement conjugal. Ainsi, la séparation dure déjà depuis trois ans et demi, sans que les époux aient repris la vie commune. Du reste, dans sa réponse à l’autorité intimée, C.________ a indiqué qu’elle ne voulait plus vivre aux côtés du recourant. Le recourant évoque sans doute une possible reprise de la vie commune, sans en dire davantage, mais les explications de C.________ ne constituent guère un indice allant dans ce sens; cela démontre bien plutôt une rupture irrémédiable de l'union conjugale. L’épouse du recourant a par ailleurs déménagé depuis lors pour se rapprocher de son lieu de travail, de sorte qu’il n’y a plus de logement conjugal. Dans une situation de ce genre, il y a abus de droit, de la part du recourant, à continuer à invoquer l’existence d’un mariage qui, certes n’a pas été dissous par le divorce, mais qui n’existe plus que formellement. Le recourant n’est, dans ces conditions, pas fondé à retirer des dispositions de l'ALCP un droit à une autorisation de séjour.</w:t>
      </w:r>
    </w:p>
    <w:p>
      <w:r>
        <w:rPr>
          <w:b/>
        </w:rPr>
        <w:t>E. 4</w:t>
      </w:r>
    </w:p>
    <w:p>
      <w:r>
        <w:t>a) Sur le plan du droit interne, l'art. 43 LEI fait dépendre le droit du conjoint étranger du titulaire d'une autorisation de séjour à se voir délivrer une autorisation de séjour, de la condition que les époux fassent ménage commun (let. a). La disparition de cette condition entraîne en principe – sous réserve de l'art. 49 LEI – l'extinction du droit, et ce indépendamment des motifs de la séparation. Lorsque la séparation a duré quelque temps et en l'absence d'indices de réconciliation, l'autorisation peut être révoquée sur la base de l'art. 62 al. 1 let. d LEI, applicable par renvoi de l'art. 51 al. 2 let. b LEI (arrêts du TF 2C_953/2011 du 22 février 2012; 2C_635/2009 du 26 mars 2010 consid. 4). En l'espèce, il sied de constater que l'absence de ménage commun du couple empêche l'application de l'art. 43 LEI. b) L'art. 49 LEI prévoit une exception à la condition du ménage commun en ce sens que cette exigence n'est pas applicable lorsque la communauté familiale est maintenue et que des raisons majeures justifiant l'existence de domiciles séparés peuvent être invoquées, ces deux conditions étant cumulatives (ATF 140 II 345 consid. 4.1; arrêts 2C_808/2015 du 23 octobre 2015 consid. 3.2; 2C_40/2012 du 15 octobre 2012). Les motifs susceptibles de constituer une raison majeure visent des situations exceptionnelles, fondées avant tout sur des raisons d'ordre professionnel ou familiales (arrêts 2C_204/2014 du 5 mai 2014 consid. 6.1; 2C_593/2011 du 19 mars 2012 consid. 3.1.1). Il appartient à l'étranger d'établir l'existence de raisons majeures au sens de l'art. 49 LEI, ainsi que le maintien de la communauté familiale en dépit des domiciles séparés. Cela vaut d'autant plus que cette situation a duré plus longtemps, car une séparation d'une certaine durée fait présumer que la communauté familiale a cessé d'exister (arrêt 2C_654/2010 du 10 janvier 2011 consid. 2.2; CDAP PE.2011.0236 du 29 novembre 2011). Tel est généralement le cas d'une séparation de plus d'une année (arrêt 2C_560/2011 du 20 février 2012 consid. 3). Le but de l'art. 49 LEI n'est en effet pas de permettre aux époux étrangers de vivre séparés en Suisse pendant une longue période et cette disposition exige que la communauté familiale soit maintenue (arrêts 2C_556/2010 du 2 décembre 2010 consid. 4.1; 2C_50/2010 du 17 juin 2010 consid. 2.3.2; 2C_575/2009 du 1 er juin 2010 consid. 3.6). La décision de " vivre ensemble séparément " en tant que telle et sans résulter d'autres motifs ne constitue pas une raison majeure au sens de l'art. 49 LEI (v. arrêt 2C_211/2016 du 23 février 2017 et les références citées). Lorsque la décision de ne pas faire ménage commun est motivée par une question de confort mutuel, l'art. 49 LEI ne trouve pas application (arrêt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2C_654/2010 du 10 janvier 2011 consid. 2.3; 2C_635/2009 du 26 mars 2010 consid. 4.3 in fine et 4.4; CDAP PE.2012.0143 du 14 décembre 2012 consid. 3c; PE.2011.0036 du 29 novembre 2011 consid. 2b). En l'occurrence, le recourant n'invoque aucune raison justifiant l'existence de domiciles séparés des époux au sens de l'art. 49 LEI, ni même ne se prévaut de cette disposition. A l'étude du dossier, on ne voit pas non plus de raison majeure pouvant justifier l'existence de domiciles séparés. Du reste, comme déjà exposé, on doit admettre que la communauté conjugale n'est plus maintenue.</w:t>
      </w:r>
    </w:p>
    <w:p>
      <w:r>
        <w:rPr>
          <w:b/>
        </w:rPr>
        <w:t>E. 5</w:t>
      </w:r>
    </w:p>
    <w:p>
      <w:r>
        <w:t>Reste la question de l'éventuel droit du recourant à se voir octroyer une autorisation de séjour après dissolution de l'union conjugale. a) L'art. 50 al. 1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sont remplis (let. a) ou lorsque la poursuite du séjour en Suisse s'impose pour des raisons personnelles majeures (let. b; cf. aussi l'art. 77 al. 1 de l'ordonnance fédérale du 24 octobre 2007 relative à l'admission, au séjour et à l'exercice d'une activité lucrative [OASA; RS 142.201]). Selon l'art. 50 al. 2 LEI,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aussi l'art. 77 al. 1 OASA). Au regard de l'art. 50 de l'ancienne loi sur les étrangers, tel qu'en vigueur jusqu'au 31 décembre 2018, l'art. 50 LEI ne comporte que des modifications d’ordre rédactionnel.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(arrêt PE.2019.0244 du 16 août 2019 consid. 2b). b) S'agissant de la première condition de l'art. 50 al. 1 let. a LEI, la période minimale de trois ans de l'union conjugale commence à courir dès le début de la cohabitation effective des époux en Suisse et s'achève au moment où ceux-ci cessent de faire ménage commun (ATF 140 II 345 consid. 4.1 p. 348; 138 II 229 consid. 2 p. 231; arrêt 2C_983/2018 du 12 novembre 2018 consid. 4.1). La limite des trois ans est absolue et s'applique même s'il ne manque que quelques jours pour atteindre la durée des trente-six mois exigés par l' art. 50 al. 1 let. a LEI (ATF 137 II 345 consid. 3.1.1 p. 347; 136 II 113 consid. 3.2 et 3.4 p. 116 s.; arrêt 2C_331/2015 du 5 février 2016 consid. 2.1).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arrêt 2C_30/2016 consid. 3.1).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arrêt 2C_664/2018 du 13 novembre 2018 consid. 4.1). Dans le calcul de sa durée, il y a surtout lieu de prendre en compte la période durant laquelle les époux ont fait ménage commun d'une manière perceptible par les tiers (arrêt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(arrêts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LEI), ne doit pas être prise en compte ou ne l'être que partiellement (ATF 136 II 113 consid. 3.2 in fine p. 117).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(ATF 127 II 49 consid. 5a p. 57; arrêt 2C_882/2013 du 8 mai 2014 consid. 3.2). c)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arrêt 2C_1030/2018 du 8 février 2019 consid. 4.1; arrêt PE.2018.0130 du 22 août 2019 consid. 4b). A cet égard, c'est la situation personnelle de l'intéressé qui est décisive et non l'intérêt public que revêt une politique migratoire restrictive (arrêts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arrêt 2C_583/2019 du 18 juillet 2019 consid. 4.2). S'agissant en particulier de la réintégration sociale dans le pays de provenance, l'art. 50 al. 2 LEI exige qu'elle soit fortement compromise, situation qui s'apparente en quelque sorte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2C_201/2019 du 16 avril 2019 consid. 5.1; 2C_1125/2018 du 7 janvier 2019 consid. 6.2). A noter que les alinéas 1 let. b et 2 de l'art. 50 LEI ne sont pas exhaustifs et laissent aux autorités une certaine liberté d'appréciation humanitaire (ATF 136 II 1 consid. 5.3 p. 4; arrêt PE.2017.0245 du 23 novembre 2017 consid. 3). Au surplus,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Lorsque la durée de la résidence est inférieure à dix ans mais que l'étranger fait preuve d'une forte intégration en Suisse, le refus de prolonger ou la révocation de l'autorisation de séjourner en Suisse peut également porter atteinte au droit au respect de la vie privée (ATF 144 I 266 consid. 3; arrêt 2C_20/2019 du 13 mai 2019 consid. 7.1 et 7.4). d) En la présente espèce, le recourant et C.________ se sont mariés le 23 juillet 2015. Ainsi qu’ils l’ont indiqué devant le juge civil, les époux se sont séparés le 30 novembre 2016. La vie commune n’a dès lors duré qu’un an, cinq mois et sept jours et aucun élément du dossier ne permet de retenir, en dépit des explications du recourant, qu’elle aurait repris depuis lors. Force est ainsi de constater que l’une des conditions cumulatives de l’art. 50 al. 1 let. a LEI n’est pas remplie, de sorte qu’il est superfétatoire d’examiner à ce stade si le recourant peut se prévaloir de la réalisation des critères d'intégration définis à l'art. 58a LEI. Le recourant ne fait état d’aucune violence domestique l’ayant conduit à la séparation d’avec ses épouses successives. Il a quitté la Tunisie alors qu’il était âgé de vingt-trois ans et vit en Suisse depuis un peu plus de dix ans. Il semble avoir toujours travaillé, à tout le moins depuis 2010 jusqu’à la perte de son emploi d’aide de cuisine à la fin du mois de juillet 2018. Le recourant ne travaille pas et n’a jamais retrouvé d’emploi depuis lors; il explique cette situation par la précarité de son statut. On relève pourtant que, jusqu’à ce que décision attaquée soit prise, il bénéficiait d’un titre de séjour valable, lui permettant de prendre un emploi. A cela s’ajoute que les effets de la décision attaquée ont été «paralysés» par l’effet suspensif duquel son recours a été assorti. Toujours est-il que, jusqu’à la perte de son emploi, le recourant n’avait jamais perçu les prestations de l’assistance publique. Refusant de régulariser sa situation vis-à-vis des autorités ********, il a requis en vain l’octroi du revenu d’insertion. Il perçoit cependant l’aide d’urgence depuis le mois de mai 2019, conformément à la loi cantonale du 7 mars 2006 sur l'aide aux requérants d'asile et à certaines catégories d'étrangers (LARA; BLV 142.21) et à l’art. 4a de la loi cantonale du 2 décembre 2003 sur l’action sociale vaudoise (LASV; BLV 850.051). Ainsi, l’intégration du recourant en Suisse est bien plus aléatoire qu’il l’indique, dès l’instant où depuis bientôt deux ans, ce dernier ne participe pas à la vie économique (cf. art. 58a al. 1 let. b LEI), sans qu’il puisse justifier d’une raison objective à cet égard. Dans ces conditions, en dépit d’un séjour de plus de dix ans, la protection de la vie privée, garantie par l’art. 8 par. 1 CEDH, ne saurait à la prolongation de l’autorisation de séjour du recourant. Cette constatation n’est toutefois pas suffisante pour que l’on retienne que le recourant ne représente pas un cas de rigueur au sens où l’entend l’art. 50 al. 1 let. b LEI. Il importe en outre de s’assurer que la réintégration du recourant dans son pays d’origine ne soit pas fortement compromise. On relève à cet égard que toute la famille du recourant vit en Tunisie, où il a connu sa première épouse, Suissesse, et qu’il a quittée en compagnie de cette dernière, alors qu’il était âgé de vingt-trois ans. Grâce à l’expérience qu’il a acquise en Suisse, le recourant ne devrait pas rencontrer des difficultés insurmontables pour sa réintégration professionnelle en Tunisie. En outre, il n’a pas d’enfant et est en bonne santé; à tout le moins, le contraire n’est pas allégué. Il n’apparaît pas en outre que les liens qu’il a tissés en Suisse seraient particulièrement serrés, au point que l’on ne puisse plus exiger de sa part qu’il quitte le pays. La situation du recourant ne se distingue en définitive pas fondamentalement de celle de compatriotes demeurés au pays, au point qu’il faille y voir un cas de rigueur justifiant la poursuite de son séjour en Suisse.</w:t>
      </w:r>
    </w:p>
    <w:p>
      <w:r>
        <w:rPr>
          <w:b/>
        </w:rPr>
        <w:t>E. 6</w:t>
      </w:r>
    </w:p>
    <w:p>
      <w:r>
        <w:t>a) A supposer même que le recourant, qui n'est pas spécialement bien intégré en Suisse, puisse véritablement se prévaloir d'un séjour légal de dix ans dans le pays et invoquer valablement la protection de l' art.</w:t>
      </w:r>
    </w:p>
    <w:p>
      <w:r>
        <w:rPr>
          <w:b/>
        </w:rPr>
        <w:t>E. 8</w:t>
      </w:r>
    </w:p>
    <w:p>
      <w:r>
        <w:t>CEDH. U ne ingérence dans l'exercice du droit au respect de la vie privée garanti par l' art. 8 par. 1 CEDH est possible aux conditions de l' art. 8 par. 2 CEDH . L'examen de la proportionnalité imposé par cette disposition se confond avec celui prévu par l' art. 96 al. 1 LEI (cf. arrêts 2C_20/2019 du 13 mai 2019 consid. 7.2; 2C_158/2019 du 12 avril 2019 consid. 5.2 et 2C_151/2019 du 14 février 2019 consid. 5.2). 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