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PE.2019.0328 vom 22. September 2020</w:t>
      </w:r>
    </w:p>
    <w:p>
      <w:r>
        <w:t>VD Tribunal cantonal, 2020-09-22, FR</w:t>
      </w:r>
    </w:p>
    <w:p>
      <w:r>
        <w:rPr>
          <w:b/>
        </w:rPr>
        <w:t xml:space="preserve">Quelle: </w:t>
      </w:r>
      <w:r>
        <w:t>https://mcp.opencaselaw.ch/entscheid/vd_omni_PE.2019.0328</w:t>
      </w:r>
    </w:p>
    <w:p>
      <w:r>
        <w:t>FR: VD_OMNI PE.2019.0328 du 22 septembre 2020</w:t>
      </w:r>
    </w:p>
    <w:p>
      <w:r>
        <w:t>IT: VD_OMNI PE.2019.0328 del 22 settembre 2020</w:t>
      </w:r>
    </w:p>
    <w:p>
      <w:pPr>
        <w:pStyle w:val="Heading2"/>
      </w:pPr>
      <w:r>
        <w:t>Regeste</w:t>
      </w:r>
    </w:p>
    <w:p>
      <w:r>
        <w:t>A.________/Service de la population (SPOP) | Recours formé par un ressortissant tunisien contre la décision du SPOP lui refusant l'octroi d'une autorisation de séjour sous quelque forme que ce soit. Le SPOP n'a pas violé le droit ni abusé de son pouvoir d'appréciation en refusant la reconnaissance d'un cas de rigueur, compte tenu notamment de l'illégalité du séjour en Suisse du recourant et de ses possibilités de réintégration dans son pays d'origine. Il appartiendra pour le surplus au SPOP de se prononcer, dans le cadre de la procédure tendant à l'exécution du renvoi, sur la requête tendant à ce qu'une admission provisoire soit proposée au SEM, la conclusion subsidiaire du recourant relative à cette question excédant l'objet du litige. Recours rejeté.</w:t>
      </w:r>
    </w:p>
    <w:p>
      <w:pPr>
        <w:pStyle w:val="Heading2"/>
      </w:pPr>
      <w:r>
        <w:t>Erwägungen</w:t>
      </w:r>
    </w:p>
    <w:p>
      <w:r>
        <w:rPr>
          <w:b/>
        </w:rPr>
        <w:t>E. 1</w:t>
      </w:r>
    </w:p>
    <w:p>
      <w:r>
        <w:t>Déposé dans le délai légal contre une décision du SPOP, qui n'est pas susceptible de recours devant une autre autorité, et répondant pour le surplus aux exigences formelles prévues par la loi, le recours est recevable si bien qu'il convient d'entrer en matière sur le fond (art. 75, 79, 92, 95, 96 et 99 de la loi du 28 octobre 2008 sur la procédure administrative [LPA-VD; BLV 173.36]).</w:t>
      </w:r>
    </w:p>
    <w:p>
      <w:r>
        <w:rPr>
          <w:b/>
        </w:rPr>
        <w:t>E. 2</w:t>
      </w:r>
    </w:p>
    <w:p>
      <w:r>
        <w:t>Il convient de déterminer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142 I 155 consid. 4.4.2 p. 156; 136 II 165 consid. 5 p. 174, 457 consid. 4.2 p. 463; 136 V 362 consid. 3.4.2 p. 365). b) En l'espèce, la décision attaquée refuse au recourant l'octroi d'une autorisation de séjour et prononce son renvoi de Suisse. Le recourant a présenté pour la première fois devant l'autorité de céans une conclusion subsidiaire tendant à ce que son admission provisoire soit proposée au SEM (art. 83 al. 6 LEI). Selon l'art. 83 al. 1 LEI, le SEM décide d'admettre à titre provisoire l'étranger si l'exécution du renvoi ou l'expulsion n'est pas possible, n'est pas licite ou ne peut être raisonnablement exigée. Or, la décision attaquée ne se prononçant pas sur cette question, la conclusion subsidiaire du recourant excède donc l'objet du litige et est irrecevable. Il appartiendra au SPOP de se prononcer sur cette demande dans le cadre de la procédure tendant à l'exécution du renvoi du recourant.</w:t>
      </w:r>
    </w:p>
    <w:p>
      <w:r>
        <w:rPr>
          <w:b/>
        </w:rPr>
        <w:t>E. 3</w:t>
      </w:r>
    </w:p>
    <w:p>
      <w:r>
        <w:t>Il convient dès lors d'examiner si c'est à juste titre que le SPOP a refusé de délivrer au recourant une autorisation de séjour. 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al. 1, la LEI s'applique aux étrangers dans la mesure où leur statut juridique n'est pas réglé par d'autres dispositions du droit fédéral ou par des traités internationaux conclus par la Suisse. b) En l'espèce, le recourant étant ressortissant de Tunisie, soit d'un Etat tiers, il ne saurait se prévaloir de l'accord du 21 juin 1999 entre la Confédération suisse, d'une part, et la Communauté européenne et ses Etats membres, d'autre part, sur la libre circulation des personnes (ALCP; RS 0.142.112.681), ni d'un autre traité. Il convient donc d’examiner son recours au regard du droit interne, soit la LEI et ses ordonnances d’application, ainsi qu’en application des garanties conférées par le droit international.</w:t>
      </w:r>
    </w:p>
    <w:p>
      <w:r>
        <w:rPr>
          <w:b/>
        </w:rPr>
        <w:t>E. 4</w:t>
      </w:r>
    </w:p>
    <w:p>
      <w:r>
        <w:t>Le recourant sollicite la délivrance d'une autorisation de séjour pour cas de rigueur au sens l'art. 30 al. 1 let. b LEI. a) Aux termes de cette disposition, il est possible de déroger aux conditions d'admission (art. 18 à 29 LEI) dans le but notamment de tenir compte des cas individuels d'une extrême gravité ou d’intérêts publics majeurs.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ATF 137 II 345 consid. 3.2.1). Les autorités disposent donc d'un large pouvoir d'appréciation dans le cadre de la présente cause. L'art. 31 al. 1 de l'ordonnance fédérale du 24 octobre 2007 relative à l’admission, au séjour et à l’exercice d’une activité lucrative (OASA; RS 142.201), dans sa nouvelle teneur au 1 er janvier 2019, précise que lors de l'appréciation de cas individuels d'une extrême gravité, il convient de tenir compte notamment de l'intégration du requérant sur la base des critères d'intégration définis à l'art. 58a al. 1 LEI – soit le respect de la sécurité et de l'ordre publics, le respect des valeurs de la Constitution, les compétences linguistiques et la participation à la vie économique ou l'acquisition d'une formation –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L'art. 30 al. 1 let. b LEI constitue une disposition dérogatoire présentant un caractère exceptionnel. Aussi, conformément à la jurisprudence constante du Tribunal fédéral,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ATF 128 II 200 consid. 4 et les références).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(cf. ATF 130 II 39 consid. 3; 128 II 200 consid. 4 ; 124 II 110 et les arrêts cités). b) En l'occurrence, le recourant estime remplir les conditions à la reconnaissance d'un cas d'extrême gravité. Il fait valoir qu’il vit en Suisse depuis le mois d’août 2013, qu’il a toujours travaillé afin de subvenir à ses besoins, qu’il n’a jamais eu recours aux prestations de l’aide sociale et dispose d’un casier judiciaire vierge. Il invoque encore que son intégration sociale est excellente dans la mesure où il est très actif comme bénévole dans diverses associations et pour divers événements. Le recourant affirme également ne plus avoir d’attaches familiales dans son pays d’origine et avoir tissé des liens très forts avec le réseau d’amis qu’il s’est constitué en Suisse. Le recourant séjourne en Suisse depuis sept ans, ce qui ne constitue pas un séjour de longue durée. Par ailleurs, étant illégal, ce séjour ne saurait revêtir la même importance qu’un séjour accompli au bénéfice d’une autorisation de séjour, sauf à ne pas tenir compte de la violation par le recourant de la réglementation en vigueur. L’activité lucrative exercée par le recourant l’a également été illégalement durant toute la durée de son séjour. A cet égard, il a été jugé que l’exercice d’une activité lucrative sans autorisation de séjour et de travail ne constituait pas un cas de rigueur et que l'étranger qui vient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pp. 44/45). Certes, le recourant parle bien le français, sans que cela ne témoigne d'une intégration particulièrement poussée puisqu'il s'agit d'une des langues officielles de la Tunisie. Il n'a semble-t-il jamais eu recours aux prestations de l'aide sociale ni ne s'est endetté. Son comportement n'a pas donné lieu à des condamnations pénales ou à d'autres observations. Cela étant, le recourant, qui a toujours exercé divers emplois, n'a pas fait état de compétences professionnelles particulièrement poussées. S’il apparaît être bien intégré d’un point de vue social, dans la mesure où il dispose d’un cercle d’amis qui le soutient et participe à la vie associative et culturelle tel que cela ressort des déclarations de soutien produites, l’on ne saurait toutefois retenir, sans minimiser les efforts qu’il a consenti à cet égard, que son intégration en Suisse serait particulièrement poussée et si exceptionnelle au point qu’elle irait au-delà d’un acclimatement ordinaire, qui permettrait en tant que tel d'établir l'existence de liens particulièrement intenses avec la Suisse. Le nouveau contrat de travail conclu par le recourant ne saurait modifier cette appréciation. Le recourant prétend que sa réintégration dans son pays d'origine serait fortement compromise, en l'absence de famille résidant en Tunisie. Il a toutefois quitté son pays d’origine lorsqu’il avait 39 ans. Il y a incontestablement conservé des attaches importantes, même en dehors de son cercle familial proche. Encore jeune, sans charge familiale et en bonne santé, le recourant ne devrait ainsi pas rencontrer de difficultés insurmontables pour s’y réintégrer. Il pourra également mettre à profit l’expérience professionnelle acquise en Suisse. Dans ces conditions, l'on peut ainsi attendre du recourant qu'il se réadapte à la situation, même difficile, à laquelle il pourrait être confronté à son retour dans son pays d'origine, à l'instar de ses compatriotes qui y sont restés. c) Pour tous ces motifs, l’autorité intimée n'a pas abusé du pouvoir d'appréciation qui était le sien en retenant que le recourant ne se trouve pas dans un cas individuel d'une extrême gravité au sens de l'art. 30 al. 1 let. b LEI qui aurait justifié qu’elle propose au SEM l’octroi en sa faveur d’une autorisation de séjour sur la base de cette disposition. Partant, la décision attaquée ne prête pas le flanc à la critique.</w:t>
      </w:r>
    </w:p>
    <w:p>
      <w:r>
        <w:rPr>
          <w:b/>
        </w:rPr>
        <w:t>E. 5</w:t>
      </w:r>
    </w:p>
    <w:p>
      <w:r>
        <w:t>On précisera en dernier lieu que le recourant ne peut pas non plus se fonder sur l'art. 8 de la Convention du 4 novembre 1950 de sauvegarde des droits de l'homme et des libertés fondamentales (CEDH; RS 0.101) pour obtenir une autorisation de séjour. En effet, il ne peut pas se prévaloir du droit au respect de sa vie familiale (art. 8 par. 1 CEDH), puisque les membres de sa famille (nucléaire) ne se trouvent pas en Suisse (cf. ATF 135 I 143 consid. 1.3.2; TF 2C_492/2018 du 9 août 2018 consid. 4.1).</w:t>
      </w:r>
    </w:p>
    <w:p>
      <w:r>
        <w:rPr>
          <w:b/>
        </w:rPr>
        <w:t>E. 6</w:t>
      </w:r>
    </w:p>
    <w:p>
      <w:r>
        <w:t>Les considérants qui précèdent conduisent au rejet du recours et à la confirmation de la décision attaquée. L'autorité intimée impartira un nouveau délai de départ au recourant en tenant compte de la situation sanitaire liée à la pandémie de coronavirus COVID-19. Vu la situation financière du recourant, il est renoncé à percevoir des frais de justice (art. 50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