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PE.2019.0318 vom 18. Mai 2020</w:t>
      </w:r>
    </w:p>
    <w:p>
      <w:r>
        <w:t>VD Tribunal cantonal, 2020-05-18, FR</w:t>
      </w:r>
    </w:p>
    <w:p>
      <w:r>
        <w:rPr>
          <w:b/>
        </w:rPr>
        <w:t xml:space="preserve">Quelle: </w:t>
      </w:r>
      <w:r>
        <w:t>https://mcp.opencaselaw.ch/entscheid/vd_omni_PE.2019.0318</w:t>
      </w:r>
    </w:p>
    <w:p>
      <w:r>
        <w:t>FR: VD_OMNI PE.2019.0318 du 18 mai 2020</w:t>
      </w:r>
    </w:p>
    <w:p>
      <w:r>
        <w:t>IT: VD_OMNI PE.2019.0318 del 18 maggio 2020</w:t>
      </w:r>
    </w:p>
    <w:p>
      <w:pPr>
        <w:pStyle w:val="Heading2"/>
      </w:pPr>
      <w:r>
        <w:t>Regeste</w:t>
      </w:r>
    </w:p>
    <w:p>
      <w:r>
        <w:t>A.________ /Service de la population (SPOP) | Admission du recours contre un refus de changement de canton par un réfugié désireux de rejoindre le canton de Vaud, où vivent sa compagne et leurs deux enfants. C'est à tort que l'autorité intimée objecte à la demande que les conditions permettant la révocation de l'autorisation de séjour sont réalisées; elle a perdu de vue que la révocation de l’asile ne peut intervenir qu’aux conditions de l’art. 63 LAsi, plus strictes que celles de l’art. 62 al. 1 LEI. Or, ces conditions ne sont pas réalisées in casu.</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Le SEM révoque l’asile si le réfugié: a.a porté atteinte à la sécurité intérieure ou extérieure de la Suisse, compromet la            sécurité intérieure ou extérieure de la Suisse ou a commis des actes délictueux     particulièrement répréhensibles; b.n’a pas respecté une interdiction de voyager prononcée sur la base de l’art. 59c, al.       1, 2e phrase, LEI (loi fédérale du 16 décembre 2005 sur les étrangers et l'intégration           [ RS 142.20 ]) .</w:t>
      </w:r>
    </w:p>
    <w:p>
      <w:r>
        <w:rPr>
          <w:b/>
        </w:rPr>
        <w:t>E. 3</w:t>
      </w:r>
    </w:p>
    <w:p>
      <w:r>
        <w:t>La révocation de l’asile ou le retrait de la qualité de réfugié déploient leurs effets à l’égard de toutes les autorités fédérales et cantonales.</w:t>
      </w:r>
    </w:p>
    <w:p>
      <w:r>
        <w:rPr>
          <w:b/>
        </w:rPr>
        <w:t>E. 4</w:t>
      </w:r>
    </w:p>
    <w:p>
      <w:r>
        <w:t>Les considérants qui précèdent conduisent ainsi le Tribunal à admettre le recours et à annuler la décision attaquée. La cause sera renvoyée à l’autorité intimée, à charge pour elle de délivrer au recourant l’autorisation de changement de canton requise. Le sort du recours commande de statuer sans frais (cf. art. 49 al. 1, 50,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