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PE.2019.0317 vom 24. September 2019</w:t>
      </w:r>
    </w:p>
    <w:p>
      <w:r>
        <w:t>VD Tribunal cantonal, 2019-09-24, FR</w:t>
      </w:r>
    </w:p>
    <w:p>
      <w:r>
        <w:rPr>
          <w:b/>
        </w:rPr>
        <w:t xml:space="preserve">Quelle: </w:t>
      </w:r>
      <w:r>
        <w:t>https://mcp.opencaselaw.ch/entscheid/vd_omni_PE.2019.0317</w:t>
      </w:r>
    </w:p>
    <w:p>
      <w:r>
        <w:t>FR: VD_OMNI PE.2019.0317 du 24 septembre 2019</w:t>
      </w:r>
    </w:p>
    <w:p>
      <w:r>
        <w:t>IT: VD_OMNI PE.2019.0317 del 24 settembre 2019</w:t>
      </w:r>
    </w:p>
    <w:p>
      <w:pPr>
        <w:pStyle w:val="Heading2"/>
      </w:pPr>
      <w:r>
        <w:t>Regeste</w:t>
      </w:r>
    </w:p>
    <w:p>
      <w:r>
        <w:t>A.________/Service de la population (SPOP) | Demande de reconsidération d'une décision refusant de délivrer une autorisation de séjour sous quelque forme que ce soit à un ressortissant kosovar qui a toujours séjourné et travaillé illégalement en Suisse. Le SPOP a statué sans attendre le certificat médical actualisé qu'il avait lui-même requis et l'échéance du délai pour la production de cette pièce. Violation grave du droit d'être entendu du recourant, qui ne saurait être réparée dans la cadre de la procédure de recours. Recours admis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Le recourant se plaint d'une violation de son droit d'être entendu. a) Tel qu'il est garanti à l'art. 29 al. 2 de la Constitution fédérale de la Confédération suisse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 citées). b) En l'espèce, l'autorité intimée, à réception de la demande de reconsidération du recourant, a imparti à l'intéressé, qui invoquait entre autres des problèmes de santé, un délai au 8 juillet 2019 pour produire un certificat médical actualisé précisant le diagnostic et le traitement suivi. Elle n'a toutefois pas attendu l'échéance de ce délai et la pièce requise pour statuer. Il s'agit d'une violation grave du droit d'être entendu du recourant, qui ne saurait être réparée dans la cadre de la présente procédure.</w:t>
      </w:r>
    </w:p>
    <w:p>
      <w:r>
        <w:rPr>
          <w:b/>
        </w:rPr>
        <w:t>E. 3</w:t>
      </w:r>
    </w:p>
    <w:p>
      <w:r>
        <w:t>Manifestement bien fondé, le recours doit être admis, selon la procédure simplifiée de l'art. 82 LPA-VD, et la décision attaquée annulée. La cause est renvoyée à l'autorité intimée pour qu'elle statue à nouveau en tenant compte du certificat médical actualisé qu'elle a reçu le 9 juillet 2019. Vu l'issue du litige, l'arrêt sera rendu sans frais (art. 49 al. 1 et 52 al. 1 LPA-VD). Le recourant, qui a procédé par l'intermédiaire d'un mandataire professionnel, a droit par ailleurs à l'allocation de dépens (art. 55 al. 1 LPA-VD),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