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PE.2019.0315 vom 12. Mai 2020</w:t>
      </w:r>
    </w:p>
    <w:p>
      <w:r>
        <w:t>VD Tribunal cantonal, 2020-05-12, FR</w:t>
      </w:r>
    </w:p>
    <w:p>
      <w:r>
        <w:rPr>
          <w:b/>
        </w:rPr>
        <w:t xml:space="preserve">Quelle: </w:t>
      </w:r>
      <w:r>
        <w:t>https://mcp.opencaselaw.ch/entscheid/vd_omni_PE.2019.0315</w:t>
      </w:r>
    </w:p>
    <w:p>
      <w:r>
        <w:t>FR: VD_OMNI PE.2019.0315 du 12 mai 2020</w:t>
      </w:r>
    </w:p>
    <w:p>
      <w:r>
        <w:t>IT: VD_OMNI PE.2019.0315 del 12 maggio 2020</w:t>
      </w:r>
    </w:p>
    <w:p>
      <w:pPr>
        <w:pStyle w:val="Heading2"/>
      </w:pPr>
      <w:r>
        <w:t>Regeste</w:t>
      </w:r>
    </w:p>
    <w:p>
      <w:r>
        <w:t>A.________/Service de la population (SPOP) | Recours contre le refus de prolonger l'autorisation de séjour d'un ressortissant portugais âgé de 27 ans, arrivé en Suisse à l'âge de 14 ans, ayant fait l'objet de 6 condamnations pénales, dont des peines privatives de liberté de 4 et 9 mois, notamment pour infractions à la loi sur les armes, vols, injure, rixe, agression et infraction à la LStup. - Rappel sur le droit transitoire en lien avec la compétence pour expulser un étranger ayant commis des infractions (art. 62 al. 2 LEI). (consid. 2) - Le parcours du recourant dénote une incapacité à respecter la loi. Il n'a cependant commis aucune infraction depuis 4 ans et sa situation professionnelle et personnelle semble se stabiliser. Question laissée ouverte de savoir s'il représente une menace permettant de restreindre sa libre circulation au sens de l'art. 5 Annexe I ALCP. (consid. 4) - Proportionnalité. Vu son long séjour en Suisse, son changement de comportement, son début d'une activité professionnelle et ses liens familiaux avec ses parents et son amie, enceinte, un renvoi vers son pays d'origine paraît disproportionné, étant rappelé qu'une révocation de son autorisation de séjour pourrait intervenir s'il venait à récidiver ou perdre son indépendance financière. (consid. 5) Admission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 litige porte sur le point de savoir si, compte tenu des condamnations pénales dont il a fait l'objet, le non-renouvellement de l'autorisation de séjour UE/AELE du recourant se justifie par des motifs d'ordre public. L'autorité intimée motive son refus en se fondant sur les art. 5 par. 1 Annexe I ALCP, ainsi que sur l'art. 62 al. 1 let. c LEI. a) Le 1 er octobre 2016 est entrée en vigueur la loi fédérale du 20 mars 2015 mettant en œuvre l’art. 121 al. 3 à 6 de la Constitution fédérale du 18 avril 1999 (Cst.; RS 101) relatif au renvoi des étrangers criminels (RO 2016 2329; FF 2013 5373), qui a notamment modifié le CP ainsi que la LEI. Ainsi,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62 al. 2 LEI qui a la teneur suivante: " Est illicite toute révocation fondée uniquement sur des infractions pour lesquelles un juge pénal a déjà prononc.une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Ces dispositions ne s'appliquent toutefois qu'aux infractions commises après le 1 er octobre 2016; elles ne s'appliquent pas lorsque les faits pour lesquels le recourant a été condamné ont été commis avant l'entrée en vigueur du nouveau droit puisque le juge pénal ne pouvait pas prononcer l'expulsion pour la commission de ces infractions (cf. TF 2C_468/2019 du 18 novembre 2019, destiné la publication aux ATF, consid. 5.3; 2C_358/2019 du 18 novembre 2019 consid. 3.3; PE.2018.0181 du 19 octobre 2018 consid. 2a; PE.2017.0451 du 20 avril 2018 consid. 3; PE.2018.0449 du 25 avril 2019 consid. 3). Le Tribunal fédéral a rendu plusieurs arrêts le 18 novembre 2019 en relation avec les compétences des autorités administratives s'agissant des étrangers condamnés pénalement. Ainsi, dans l'arrêt 2C_1154/2018 (destiné à la publication aux ATF), il a considéré que lorsque le juge pénal décide de ne pas ordonner l'expulsion judiciaire en procédant à une appréciation d'ensemble du comportement de celui-ci, soit en tenant compte des faits survenus avant et après le 1 er octobre 2016, le juge administratif n'a ensuite plus la compétence pour révoquer l'autorisation du recourant sur la base des mêmes éléments d'appréciation (consid. 2.2). Le Tribunal fédéral confirme que l'autorité administrative est liée par l'appréciation du juge pénal si celui-ci a tenu compte de l'ensemble du parcours du recourant. Dans l'arrêt précité 2C_468/2019, également destiné à la publication, le Tribunal fédéral a retenu que l'art. 62 al. 2 LEI ne s'applique pas lorsque la révocation de l'autorisation à séjourner en Suisse est justifiée par des infractions commises avant le 1 er octobre 2016, y compris lorsque l'étranger a été condamné pénalement pour des infractions commises après cette date sans que le juge pénal se prononce sur l'expulsion. A fortiori, les nouvelles dispositions législatives ne s'opposent donc pas à ce que l'autorité révoque une autorisation pour des faits commis avant le 1 er octobre 2016 alors qu'une nouvelle enquête pénale portant sur des faits pouvant justifier une expulsion obligatoire (art. 66a CP) est en cours (dans le même sens: PE.2017.0547 du 20 septembre 2018 consid. 3b, confirmé par l'arrêt TF 2C_954/2018 du 3 décembre 2018). Selon le Tribunal fédéral, ces principes valent également pour le refus de prolonger une autorisation de séjour (cf. art. 33 al. 3 LEI: TF 2C_358/2019 du 18 novembre 2019 consid. 3.1 et réf.). b) En l'occurrence, les infractions à la base du jugement pénal du 28 novembre 2017 ont été commises en 2014 en 2015, donc avant le 1 er octobre 2016. En revanche, le vol pour lequel le recourant a été condamné le 26 juin 2019 a été commis en août 2018. Dans son ordonnance pénale relative à cette infraction, le Ministère public ne s'est pas prononcé sur la question d'une expulsion du recourant, dès lors que l'infraction de vol au sens de l'art. 139 al. 1 CP, non liée à une violation de domicile, ne constitue pas une infraction justifiant une expulsion obligatoire. Le recourant n'a pas non plus fait l'objet d'une mesure au sens des art. 59 à 61 ou 64 CP justifiant une expulsion non obligatoire (art. 66a bis CP). L'autorité administrative était ainsi fondée à statuer sur la question du non-renouvellement de l'autorisation de séjour et au renvoi du recourant en raison de ses condamnations pénales antérieures.</w:t>
      </w:r>
    </w:p>
    <w:p>
      <w:r>
        <w:rPr>
          <w:b/>
        </w:rPr>
        <w:t>E. 3</w:t>
      </w:r>
    </w:p>
    <w:p>
      <w:r>
        <w:t>Le recourant invoque un défaut de motivation de la décision attaquée; il reproche à l'autorité intimée en particulier de ne pas avoir tenu compte des intérêts privés du recourant dans sa pesée des intérêts. Selon lui, l’autorité intimée aurait dû tenir compte des difficultés de réintégration au Portugal, où il dit n’avoir plus aucune famille ni aucun lien. a) La jurisprudence a déduit du droit d'être entendu (art. 29 al. 2 Cst.) l'obligation pour le juge de motiver ses décisions. Le juge doit mentionner, au moins brièvement, les motifs qui l'ont guidé et sur lesquels il a fondé sa décision, de manière à ce que l'intéressé puisse se rendre compte de la portée de celle-ci et l'attaquer en connaissance de cause (cf. ATF 139 IV 179 consid. 2.2; 137 II 266 consid. 3.2). b) En l'occurrence, la lecture de la décision attaquée permet de comprendre d'emblée les motifs qui ont guidé l’autorité intimée. Le recourant s'en prend finalement uniquement au contenu de cette motivation, jugeant la pesée des intérêts incomplète. Or, ce point ne relève pas du droit d'être entendu en lien avec l'obligation de motivation. Le grief est partant rejeté.</w:t>
      </w:r>
    </w:p>
    <w:p>
      <w:r>
        <w:rPr>
          <w:b/>
        </w:rPr>
        <w:t>E. 4</w:t>
      </w:r>
    </w:p>
    <w:p>
      <w:r>
        <w:t>L'autorité intimée a refusé de renouveler l'autorisation de séjour UE/AELE du recourant en raison principalement de ses multiples condamnations pénales. a) L'art. 62 LEI est applicable à la révocation, respectivement au non renouvellement, d'une autorisation de séjour UE/AELE (cf. art. 2 al. 2 LEI; cf. 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TF 2C_389/2017 du 10 janvier 2018 consid. 3.1). L'art. 62 al. 1 let. c LEI prévoit que l'autorité compétente peut révoquer – ou ne pas renouveler – une autorisation de séjour lorsque l'étranger attente de manière grave ou répétée à la sécurité et l'ordre publics en Suisse ou à l'étranger, les met en danger ou représente une menace pour la sécurité intérieure ou extérieure de la Suisse. Selon l'art. 77a de l’ordonnance fédérale du 24 octobre 2007 relative à l’admission, au séjour et à l’exercice d’une activité lucrative (OASA; RS 142.201) , il y a notamment non-respect de la sécurité et de l'ordre publics lorsque la personne concernée viole des prescriptions légales ou des décisions d'une autorité (al. 1 let. a). La sécurité et l’ordre publics sont mis en danger lorsque des éléments concrets indiquent que le séjour en Suisse de la personne concernée conduira selon toute vraisemblance au non-respect de la sécurité et à l’ordre publics (art. 77a al. 2 OASA). Selon la jurisprudence, l'étranger dont les actes lèsent ou compromettent des biens juridiques particulièrement importants, tels que l'intégrité physique, psychique ou sexuelle d'une personne porte atteinte de manière très grave à la sécurité et l'ordre publics (art. 62 let. c LEI; cf. ATF 137 II 297 consid. 3.3; TF 2C_242/2011 du 23 septembre 2011 consid. 3.3.3). Tel est aussi le cas lorsque les actes individuels ne justifient pas en eux-mêmes une révocation mais que leur répétition montre que la personne concernée n'est pas prête à se conformer à l'ordre en vigueur (TF 2C_317/2016 du 14 septembre 2016 consid. 4.4; 2C_797/2014 du 13 février 2015 consid. 3.3, pour un résumé de la jurisprudence cantonale sur la question cf. PE.2017.0428 du 16 mai 2019 consid. 3c/bb). b) Comme l'ensemble des droits octroyés par l'ALCP, le droit de séjourner en Suisse et d'y exercer une activité lucrative ne peut être limité que par des mesures d'ordre ou de sécurité publics, au sens de l'art. 5 par. 1 Annexe I ALCP (ATF 139 II 121 consid. 5.3 ; TF 2C_1097/2016 du 20 février 2017 consid. 4.1) dont le cadre et les modalités sont définis par les trois directives citées au par. 2 de cette même disposition – la plus importante étant la directive 64/221/CEE –, ainsi que par la jurisprudence y relative de la Cour de justice des Communautés européennes (ci-après: la Cour de justice ou CJCE) rendue avant la signature de l'accord le 21 juin 1999 (cf. art. 5 par. 2 Annexe I ALCP en relation avec l'art. 16 al. 2 ALCP). D'après la jurisprudence,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ATF 139 II 121 consid. 5.3 et les références). c) En l'espèce, le recourant a fait l'objet de six condamnations, dont deux à des peines privatives de liberté de 4 mois respectivement 9 mois, pour infractions à la loi fédérale sur les armes, vols, injure et violence ou menace contre les autorités et les fonctionnaires, rixe, agression et infraction à la loi fédérale sur les stupéfiants. On constate en outre une progression dans la gravité des actes, le recourant passant d'infractions liées au port d'arme en 2012 à des condamnations en lien avec des agressions en 2015, 2016 et 2017, avec coauteurs, dont il ressort en outre des états de fait des jugements qu'elles ont été commises de manière gratuite. Sa plus lourde condamnation, à une peine de peine privative de liberté de 9 mois, a été prononcée le 28 novembre 2017, pour des faits survenus en avril 2014, lorsque, avec deux coauteurs, il a agressé deux hommes dans la rue. En outre, cette condamnation se réfère à des injures et menaces proférées contre une employée CFF en janvier 2015 et contre les agents de police lors d’une rixe dans une discothèque en juin 2015. Ces faits sont graves. Il a en outre été interpellé en possession d’une arme (couteau papillon) le 26 décembre 2016. Enfin, il a consommé de la marijuana à tout le moins depuis le 25 septembre 2014 et jusqu’au 13 juin 2015, date de son interpellation. Dans son jugement, le Tribunal d’arrondissement de l’Est vaudois a considéré qu'il présentait une attitude arrogante et narquoise, faisant ressortir une impulsivité assez inquiétante, mais qu'il semblait s’être assagi depuis juin 2015 et suivait désormais un apprentissage. Le recourant a fait l'objet d'un avertissement du SPOP en octobre 2016 (soit après les faits reprochés dans le jugement précité). En 2017, il a effectué une peine privative de liberté de 3 mois. Malgré cela, en août 2018, il a commis, avec l'un des coauteurs également jugé le 28 novembre 2017, un vol de bouteilles d'alcool dans un magasin de Clarens. Cette infraction, commise malgré un avertissement, ajoutée au lourd parcours délictueux du recourant, dénote une incapacité à adopter un comportement respectueux des lois et règles en vigueur en Suisse. Cela étant, le recourant n'a pas commis d'infraction grave depuis 2015 et sa situation professionnelle et personnelle semble en cours de se stabiliser, raison pour laquelle on peut douter qu'il représente encore une menace actuelle et réelle pour la sécurité et l'ordre publics, étant rappelé que les limites posées au principe de la libre circulation des personnes doivent s'interpréter de manière restrictive. Quoi qu'il en soit, la question de savoir si les conditions permettant de restreindre la libre circulation du recourant au sens de l'art. 5 Annexe I ALCP sont remplies peut rester ouverte, la décision n'apparaissant pas proportionnée, pour les raisons qui suivent.</w:t>
      </w:r>
    </w:p>
    <w:p>
      <w:r>
        <w:rPr>
          <w:b/>
        </w:rPr>
        <w:t>E. 4.2</w:t>
      </w:r>
    </w:p>
    <w:p>
      <w:r>
        <w:t>et les références). b) En l'espèce, l'autorité intimée se fonde essentiellement sur les condamnations pénales du recourant et le danger qu'il représente pour refuser la prolongation de son titre de séjour. Le recourant est arrivé en Suisse à l’âge de 14 ans, avec sa mère afin d’y rejoindre son père. Il aurait ensuite vécu un deuil douloureux de l’un de ses cousins en 2008 et a alors commencé à fréquenter les personnes avec lesquelles il avait commis des délits, qu’il dit regretter amèrement aujourd’hui. Il a eu recours à l'aide sociale de manière intermittente entre 2011 et 2019, pour un montant total de 68'793 fr. 20. Certes, comme on l'a vu, son parcours dénote une réelle difficulté à se conformer à l'ordre juridique, avec des infractions relativement récentes dès lors que les plus graves ont été commises en 2015, et une récidive en 2018. Le recourant semble toutefois montrer une amélioration de son comportement depuis 2015. Il convient néanmoins de garder à l'esprit que les actes d'agression pour lesquels il a été condamné en 2016 et 2017 sont graves, dès lors qu'ils portent sur un bien juridiquement protégé important qu'est l'intégrité physique. En outre, ces faits ont été commis alors que le SPOP l'avait prévenu en 2012 déjà, lorsqu'il avait refusé de lui octroyer une autorisation d'établissement, des conséquences possibles de son comportement délictueux et d'une dépendance à l'aide sociale sur son droit de séjour en Suisse. L'avertissement formel reçu en 2016 et les trois mois de détention effectués en 2017 ne semblent en outre pas l'avoir dissuadé de commettre une nouvelle infraction, à savoir un vol en août 2018. Cela étant, le recourant allègue avoir modifié son comportement de manière fondamentale. Il indique ainsi avoir déménagé pour s'installer à Prilly avec sa compagne, qui serait enceinte de leur enfant, la naissance étant prévue en juillet 2020. Sa compagne serait en cours de naturalisation. Cette nouvelle circonstance familiale mérite considération, mais doit être vérifiée et confirmée sur la durée. On relève en particulier que, dans sa lettre au Tribunal du 18 décembre 2019, le recourant indique encore une adresse à Aigle et non à Prilly. Il conviendrait aussi de s'assurer de sa paternité sur l'enfant à naître. Pour le surplus, le recourant allègue que ses parents et ses frères et sœurs vivent en Suisse, au bénéfice d'autorisations d'établissement. Lui-même est arrivé en Suisse à l'âge de 14 ans, de sorte qu'il a vécu plus de la moitié de sa vie dans ce pays et y a effectué la fin de sa scolarité et le début de sa vie d'adulte. Force est ainsi de constater qu'il conserve l'essentiel de ses liens familiaux en Suisse. Sur le plan professionnel, le recourant ne fait état d'aucune formation professionnelle achevée. Il semble toutefois avoir réussi à s'affranchir de l'aide sociale depuis 2019 et a pu conclure un contrat de travail à durée indéterminée à 100%, débutant en février 2020. Vu ces circonstances, le recourant semble bien vouloir modifier son comportement passé et s'insérer durablement dans la vie professionnelle. Vu ses liens familiaux, il peut se prévaloir de la protection offerte par l' art. 8 par. 1 CEDH , tant sous l'angle du droit au respect de sa vie familiale que sous l'angle du droit au respect à sa vie privée. En l'état, un renvoi vers pays d'origine paraît disproportionné, étant précisé que le renouvellement futur de son autorisation de séjour dépendra naturellement de la poursuite des changements opérés jusqu'à présent, ce qui devra être examiné par l'autorité intimée le moment venu. Le refus de prolonger l'autorisation de séjour paraît en conséquence disproportionné. Le recourant est cependant averti que tout comportement contraire à l'ordre public, de même qu'une absence d'autonomie financière, sera susceptible de justifier le non-renouvellement, voire une révocation de son autorisation de séjour.</w:t>
      </w:r>
    </w:p>
    <w:p>
      <w:r>
        <w:rPr>
          <w:b/>
        </w:rPr>
        <w:t>E. 5</w:t>
      </w:r>
    </w:p>
    <w:p>
      <w:r>
        <w:t>Le recourant invoque une violation du principe de proportionnalité, la décision ne tenant pas compte de la protection de la vie familiale à laquelle il a droit. Il relève la présence en Suisse de ses parents, de ses frères et sœurs et de sa compagne, avec laquelle il aurait emménagé à Prilly, loin de ses anciennes fréquentations. a) L'art. 8 par. 1 de la Convention du 4 novembre 1950 de sauvegarde des droits de l’homme et des libertés fondamentales (CEDH; RS 0.101),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 application de l'ensemble de ces dispositions précitées, il faut que la pesée de tous les intérêts publics et privés en présence dans le cas particulier, laisse apparaître la mesure comme proportionnée (art. 96 al. 1 LEI, art. 2 al. 2 LEI, art. 8 par. 2 CEDH, TF 2C_1045/2011 du 18 avril 2012 consid. 2.1; ATF 139 I 145 consid. 2.2; 135 II 377 consid. 4.3; 135 I 143 consid. 2.1). Pour apprécier ce qui est équitable, l'autorité doit tenir compte de toutes les circonstances du cas d'espèce, les critères déterminants pour trancher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139 I 31 consid. 2.3.1; 139 I 16 consid. 2.2.1; TF 2D_47/2015 du 4 décembre 2015 consid. 5.3; 2C_1193/2013 du 27 mai 2014 consid. 2.3). Normalement, en cas de peine d'au moins deux ans de détention, l'intérêt public de l’étranger à l'éloignement l'emporte sur l'intérêt privé - et celui de sa famille - à pouvoir rester en Suisse (cf. ATF 139 I 145 consid. 2.3; 135 II 377 consid. 4.3 et 4.4; 130 II 176 consid. 4.1). Quand la mesure de révocation est prononcée en raison de la commission d'une infraction, la peine infligée par le juge pénal est le premier critère à utiliser pour évaluer la gravité de la faute et pour procéder à la pesée des intérêts en présence. A ce propos, et comme évoqué plus haut,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(cf. notamment TF 2D_47/2015 du 4 décembre 2015 consid. 5.3 et les références citées). La durée de présence en Suisse d'un étranger constitue également un critère important. Plus cette durée est longue, plus les conditions pour prononcer la décision de révocation doivent être appréciées restrictivement (cf. ATF 135 II 377 consid. 4.4 et 4.5; TF 2C_970/2017 du 7 mars 2018 consid. 4.1; 2C_816/2012 du 6 mars 2013 consid. 5.1; 2C_881/2012 du 16 janvier 2013 consid. 5.1). Le renvoi d'étrangers ayant séjourné très longtemps en Suisse, voire de ceux qui y sont nés et y ont passé toute leur existence (étrangers de la "seconde génération"), n'est cependant exclu ni par l'ALCP, ni par la CEDH (ATF 130 II 176 consid. 4.4), mais n'entre en ligne de compte que si l'intéressé a commis des infractions très graves, en particulier en cas de violence, de délits sexuels, de graves infractions à la loi fédérale sur les stupéfiants, ou en cas de récidive. On tiendra par ailleurs particulièrement compte, pour apprécier la proportionnalité de la mesure, de l'intensité des liens de l'étranger avec la Suisse et des difficultés de réintégration dans son pays d'origine (cf. ATF 130 II 176 consid. 4.4.2; 125 II 521 consid. 2b; 122 II 433 consid. 2c; TF 2C_970/2017 du 7 mars 2018 consid. 4.1).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w:t>
      </w:r>
    </w:p>
    <w:p>
      <w:r>
        <w:rPr>
          <w:b/>
        </w:rPr>
        <w:t>E. 6</w:t>
      </w:r>
    </w:p>
    <w:p>
      <w:r>
        <w:t>a) Les considérants qui précèdent conduisent par conséquent à l’admission du recours. La décision attaquée est annulée et la cause renvoyée à l’autorité intimée afin qu’elle prolonge l’autorisation de séjour du recourant. b) Vu l'issue du litige, les frais seront laissés à la charge de l'Etat (art. 49, 91 et 99 LPA-VD). c) S'agissant des dépens, l'art. 55 al. 1 LPA-VD dispose que l'autorité alloue une indemnité à la partie qui obtient totalement ou partiellement gain de cause, en remboursement des frais qu'elle a engagés pour défendre ses intérêts. Cette indemnité est mise à la charge de la partie qui succombe (art. 55 al. 2 LPA-VD). En l'occurrence, le recourant obtient gain de cause de sorte qu'il se justifie de lui allouer une indemnité à titre de dépens, à la charge de l'autorité intimée qui succombe. Cette indemnité sera arrêtée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