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PE.2019.0278 vom 12. Dezember 2019</w:t>
      </w:r>
    </w:p>
    <w:p>
      <w:r>
        <w:t>VD Tribunal cantonal, 2019-12-12, FR</w:t>
      </w:r>
    </w:p>
    <w:p>
      <w:r>
        <w:rPr>
          <w:b/>
        </w:rPr>
        <w:t xml:space="preserve">Quelle: </w:t>
      </w:r>
      <w:r>
        <w:t>https://mcp.opencaselaw.ch/entscheid/vd_omni_PE.2019.0278</w:t>
      </w:r>
    </w:p>
    <w:p>
      <w:r>
        <w:t>FR: VD_OMNI PE.2019.0278 du 12 décembre 2019</w:t>
      </w:r>
    </w:p>
    <w:p>
      <w:r>
        <w:t>IT: VD_OMNI PE.2019.0278 del 12 dicembre 2019</w:t>
      </w:r>
    </w:p>
    <w:p>
      <w:pPr>
        <w:pStyle w:val="Heading2"/>
      </w:pPr>
      <w:r>
        <w:t>Regeste</w:t>
      </w:r>
    </w:p>
    <w:p>
      <w:r>
        <w:t>A.________/Service de la population (SPOP) | Confirmation de la décision du SPOP révoquant l'autorisation de séjour UE/AELE pour activité lucrative dépendante délivrée en 2015 à une ressortissante portugaise. Le contrat de travail de la recourante a été résilié suite à son incapacité de travail survenue en janvier 2017 (chute). La SUVA a considéré que la recourante pouvait exercer une activité lucrative, à condition de respecter certaines limites fonctionnelles. Elle ne se trouve ainsi plus en incapacité de travail "temporaire" qui résulterait de son accident. Elle ne peut, par ailleurs, pas bénéficier du droit de demeurer en Suisse, son incapacité de travail ne résultant pas de son accident professionnel et étant survenue moins de deux ans après son arrivée en Suisse. Pas de motifs importants justifiant une autorisation de séjour. Pas de lien de dépendance avec son fils majeur qui vit en Suisse.</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de sorte qu'il convient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 L’art. 61a LEI s’applique uniquement aux ressortissants UE/AELE qui ont obtenu une autorisation initiale de séjour ou une autorisation initiale de courte durée dans le but d’exercer une activité lucrative dépendante en Suisse (FF 2016 2883). bb) En l'occurrence, la recourante s'est vu octroyer une autorisation de séjour UE/AELE pour exercer une activité lucrative dépendante valable jusqu'au 14 décembre 2020. Victime d'un accident le 12 janvier 2017 sur son lieu de travail, elle n'a plus travaillé depuis cette date et son contrat de travail a été résilié pour le 31 juillet 2017, soit il y a plus de six mois. Elle ne bénéficie ainsi plus, a priori, du droit de séjourner en Suisse en qualité de travailleuse (cf. art. 61a al. 4 LEI). Le contrat de travail de la recourante a été résilié suite à son incapacité de travail survenue le 12 janvier 2017. Ainsi que cela ressort de la décision du 3 septembre 2018, la SUVA a considéré que la recourante pouvait exercer une activité lucrative, à condition de respecter certaines limites fonctionnelles, de sorte que son accident n'avait pas diminué sa capacité de gain. La SUVA ne lui a par conséquent pas alloué de rente et a cessé de lui verser des indemnités à partir de cette date. La recourante ne se trouve ainsi plus en incapacité de travail "temporaire" au sens de l'art. 61a al. 5 LEI, qui résulterait de son accident et lui donnerait encore droit à des indemnités de l'assurance-accident. b) La recourante étant toutefois toujours en incapacité de travail attestée par les certificats médicaux établis par son médecin généraliste, il faut encore examiner si elle peut bénéficier du droit de demeurer en Suisse après la fin de son activité économique en application de l'art. 4 par. 1 annexe I ALCP. aa) L’art. 4 annexe I ALCP prévoit que les ressortissants d'une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A teneur de l’art. 2 par.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Doivent être considérées comme des périodes d'emploi au sens de l'art. 2 par. 1 les périodes de chômage involontaire, dûment constatées par le bureau de main-d'œuvre compétent, et les absences pour cause de maladie ou accident (cf. art. 4 par. 2 du règlement [CEE] 1251/70). D'après l'art. 5 par. 1 du règlement, le bénéficiaire dispose d'un délai de deux ans pour l'exercice du droit de demeurer; ce délai court depuis le moment où le droit a été ouvert en application de l'art. 2 par. 1 let. a et b et de l'art. 3 (cf. notamment TF 2C_79/2018 du 15 juin 2018 consid. 4.2.1). Selon la jurisprudence, pour pouvoir prétendre au droit de demeurer en Suisse sur la base de l'art. 2 par. 1 let. b du règlement (CEE) 1251/70, il faut donc que l'intéressé ait séjourné sur le territoire de l'État en question depuis plus de deux ans au moment où l'incapacité de travail intervient. En revanche, cette disposition ne prévoit pas une durée déterminée d'activité. Par ailleurs, ce droit suppose que l'intéressé ait effectivement eu la qualité de travailleur et qu'il ait cessé d'occuper un emploi salarié suite à une incapacité de travail (ATF 144 II 121 consid. 3.2 et 3.5.3 ; ATF 141 II 1 consid. 4.2.1 et 4.2.3 ; TF 2C_374/2018 du 15 août 2018 consid. 6.2; CDAP PE.2018.0138 du 25 juin 2019 consid. 3c). Aux termes de l'art. 22 OLCP,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Le Tribunal fédéral a précisé que lorsqu'une demande de rente AI a été déposée, il convient d'attendre la décision de l'office compétent, avant de se prononcer sur un éventuel droit de demeurer en Suisse de l'intéressé. Il faut toutefois que les autres conditions du droit de demeurer en Suisse soient réalisées (ATF 141 II 1 consid. 4.2; TF 2C_79/2018 du 15 juin 2018 consid. 4.2.2 et les références citées). bb) En l'espèce, la recourante est arrivée en Suisse le 15 décembre 2015 et elle se trouve en incapacité de travail depuis le 12 janvier 2017, de sorte que moins de deux ans se sont écoulés entre ces deux dates. Par ailleurs, comme cela ressort de la décision de la SUVA du 3 octobre 2018, l'incapacité de travail de la recourante ne résulte pas de son accident professionnel. Elle n'a dès lors pas un droit de demeurer en Suisse au sens des dispositions précitées, nonobstant la demande de rente AI pendante. c) La recourante ne saurait par ailleurs se voir délivrer une autorisation de séjour pour personne n'exerçant pas d'activité économique au sens de l'art. 24 par. 1 et 8 annexe I ALCP, faute pour elle de disposer de moyens financiers suffisants puisqu'elle dépend de l'aide sociale depuis septembre 2018. d) Selon l'art. 20 OLCP, si les conditions d’admission sans activité lucrative ne sont pas remplies au sens de l’ALCP, une autorisation de séjour UE/AELE peut être délivrée lorsque des motifs importants l’exigent. aa) L'art. 20 OLCP doit être interprété en relation avec l’art. 31 de l'ordonnance du 24 octobre 2007 relative à l’admission, au séjour et à l’exercice d’une activité lucrative (OASA; RS 142.201). Dans sa teneur en vigueur jusqu’au 31 décembre 2018, applicable in casu (cf. art. 126 al. 1 LEI),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2D_57/2019 du 4 novembre 2019 consid. 6.2 ; TF 2C_216/2009 du 20 août 2009 consid. 4.2; PE.2016.0087 du 1 er juin 2016 consid. 6a/aa; PE.2016.0077 du 7 avril 2016 consid. 3a ).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 8 mars 2011 consid. 2.1; 2C_759/2010 du 28 janvier 2011 consid. 5.2.1 in fine). bb) En l'occurrence, la recourante est arrivée en Suisse en décembre 2015, alors qu'elle était âgée de 43 ans, de sorte qu'elle a vécu presque toute son existence au Portugal. Elle ne devrait dès lors pas avoir de difficultés à se réintégrer dans son pays d'origine qu'elle a quitté il y a tout juste quatre ans. La recourante allègue certes qu’un renvoi au Portugal mettrait en péril son rétablissement et le suivi psychologique dont elle bénéficie actuellement. Elle n'apporte cependant aucun élément permettant de douter qu'elle ne pourrait pas bénéficier des soins médicaux adaptés aux douleurs cervicales dont elle souffre et d'un suivi psychologique de qualité au Portugal, alors que ce pays offre des prestations médicales comparables à celles de la Suisse (PE.2019.0019 du 4 novembre 2019 consid. 5b; PE.2018.0265 du 19 décembre 2018 consid. 4a; PE.2017.0522 du 23 mars 2018 consid. 6b). Il n'y a dès lors pas lieu de craindre qu'un départ de Suisse entraîne de graves conséquences pour sa santé. 3. La recourante fait valoir que son fils, qui vit en Suisse, est un soutien essentiel pour elle. a). Selon la jurisprudence, un étranger peut se prévaloir de la protection de la vie familiale découlant de l'art. 8 par. 1 de la Convention du 4 novembre 1950 de sauvegarde des droits de l’homme et des libertés fondamentales (CEDH; RS 0.101)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visées par l'art. 8 par. 1 CEDH sous l'aspect de la protection de la vie familiale sont avant tout celles qui concernent la famille dite nucléaire (" Kernfamilie "), soit celles qui existent entre époux ainsi qu'entre parents et enfants mineurs vivant en ménage commun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(ATF 129 II 11 consid. 2; 120 Ib 257 consid. 1d-e et la jurisprudence citée; TF 2C_17/2015 du 13 janvier 2015 consid. 3.3; 2C_253/2010 du 18 juillet 2011 consid. 1.5).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b) La recourante ne saurait en l'espèce obtenir une autorisation de séjour fondée sur l'art. 8 CEDH, dès lors que son fils est majeur et qu'il n'est pas établi (ni même allégué) qu'il existerait un lien de dépendance particulière entre eux – qui irait au-delà des sentiments d'attachement ordinaires – qui justifierait que la recourante demeure en Suisse. Il ressort d'ailleurs de la décision du SPOP que le fils de la recourante vit en Valais; il n'y a donc pas de communauté domestique. De retour au Portugal, la recourante pourra continuer d'entretenir des contacts réguliers avec son fils par le biais des moyens de communication moderne, comme ils le font déjà certainement actuellement, et le voir lors de séjours touristiques. L'autorité intimée n'a ainsi pas violé la législation applicable en considérant que la recourante n'avait plus le droit de séjourner en Suisse et en révoquant par conséquent son autorisation de séjour valable jusqu'en 2020. 4. Les considérants qui précèdent conduisent au rejet du recours et à la confirmation de la décision attaquée. L'autorité intimée impartira un nouveau délai de départ à la recourante. Les frais de justice, arrêtés à 600 francs (art. 4 al. 1 du tarif des frais judiciaires et des dépens en matière administrative du 28 avril 2015 [TFJDA; BLV 173.36.5.1]), devraient en principe être supportés par la recourante, qui succombe (art. 49 al. 1 LPA-VD). Celle-ci ayant été mise au bénéfice de l'assistance judiciaire par décision du 27 août 2019, ces frais seront toutefois laissés à la charge de l'Etat (art. 122 al. 1 let. b du code de procédure civile du 19 décembre 2008 [CPC; RS 272], applicable par renvoi de l'art. 18 al. 5 LPA-VD). La recourante est rendue attentive au fait qu'elle est tenue de rembourser le montant ainsi avancé dès qu'elle est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