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PE.2019.0267 vom 15. Januar 2021</w:t>
      </w:r>
    </w:p>
    <w:p>
      <w:r>
        <w:t>VD Tribunal cantonal, 2021-01-15, FR</w:t>
      </w:r>
    </w:p>
    <w:p>
      <w:r>
        <w:rPr>
          <w:b/>
        </w:rPr>
        <w:t xml:space="preserve">Quelle: </w:t>
      </w:r>
      <w:r>
        <w:t>https://mcp.opencaselaw.ch/entscheid/vd_omni_PE.2019.0267</w:t>
      </w:r>
    </w:p>
    <w:p>
      <w:r>
        <w:t>FR: VD_OMNI PE.2019.0267 du 15 janvier 2021</w:t>
      </w:r>
    </w:p>
    <w:p>
      <w:r>
        <w:t>IT: VD_OMNI PE.2019.0267 del 15 gennaio 2021</w:t>
      </w:r>
    </w:p>
    <w:p>
      <w:pPr>
        <w:pStyle w:val="Heading2"/>
      </w:pPr>
      <w:r>
        <w:t>Regeste</w:t>
      </w:r>
    </w:p>
    <w:p>
      <w:r>
        <w:t>A.________/Service de la population (SPOP) | Confirmation de la décision du SPOP de révoquer l'autorisation de séjour UE/AELE d'une ressortissante espagnole, celle-ci n'exerçant plus qu'une activité de nettoyeuse à un taux très réduit (12 h. 30 par semaine) et percevant des prestations du revenu d'insertion pour subvenir à ses besoins et ceux de sa fille. L'autorisation de séjour de cette dernière, délivrée au titre du regroupement familial, doit également être révoquée. L'intéressée a d'ailleurs achevé sa scolarité obligatoire.</w:t>
      </w:r>
    </w:p>
    <w:p>
      <w:pPr>
        <w:pStyle w:val="Heading2"/>
      </w:pPr>
      <w:r>
        <w:t>Erwägungen</w:t>
      </w:r>
    </w:p>
    <w:p>
      <w:r>
        <w:rPr>
          <w:b/>
        </w:rPr>
        <w:t>E. 1</w:t>
      </w:r>
    </w:p>
    <w:p>
      <w:r>
        <w:t>Déposé dans le délai légal contre une décision du SPOP qui n'est pas susceptible de recours devant une autre autorité par le destinataire de la décision attaquée, dont les intérêts sont directement atteints par celle-ci, le recours satisfait pour le surplus aux autres conditions formelles prévues par la loi si bien qu'il convient d'entrer en matière sur le fond (art. 75, 79, 92, 95 et 99 de la loi du 28 octobre 2008 sur la procédure administrative [LPA-VD; BLV 173.36]).</w:t>
      </w:r>
    </w:p>
    <w:p>
      <w:r>
        <w:rPr>
          <w:b/>
        </w:rPr>
        <w:t>E. 2</w:t>
      </w:r>
    </w:p>
    <w:p>
      <w:r>
        <w:t>La décision attaquée, qui révoque l'autorisation de séjour UE/AELE de la recourante ainsi que celle de sa fille, retient que la recourante ne peut plus se prévaloir du statut de travailleur communautaire.</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4.1</w:t>
      </w:r>
    </w:p>
    <w:p>
      <w:r>
        <w:t>p. 41; arrêt 2C_997/2015 du 30 juin 2016 consid. 2.1). Le but du droit de séjour fondé sur l'art. 3 al. 6 annexe I ALCP est d'encourager la poursuite de l'intégration des enfants en formation. Partant, un tel séjour est soumis à la condition que le retour de l'enfant dans son pays d'origine n'apparaisse pas exigible (ATF 139 II 393 consid. 4.2 p. 399; cf. arrêt 2C_669/2015 du 30 mars 2016 consid. 6.3). Pour le cas où l’enfant disposerait d’un droit propre à cet égard, le parent qui en a la garde peut revendiquer un droit dérivé à la poursuite de son séjour en Suisse (arrêt 2C_997/2015 déjà cité consid. 4). cc) En l'espèce, il ressort du dossier que la fille de la recourante est arrivée en Suisse le 20 juillet 2012 (cf. les déclarations de la recourante lors de son interpellation du 7 avril 2015); elle était alors âgée de dix ans. Dès son arrivée, elle a fréquenté l'école primaire puis secondaire, au terme de laquelle elle a obtenu le certificat de fin d'études secondaires en voie générale. Elle poursuit actuellement sa scolarité dans une classe de raccordement auprès du collège de l'Union, à Prilly. Ayant achevé sa scolarité obligatoire, elle a par conséquent terminé sa formation. Par ailleurs, parlant l'espagnol (elle a servi d'interprète à la recourante lors de l'interpellation de celle-ci le 7 avril 2015), elle ne devrait pas éprouver de grandes difficultés à poursuivre ses études dans son pays d’origine. Les conditions pour qu'elle obtienne une autorisation de séjour en application de l'art. 3 par. 6 annexe I ALCP ne sont en conséquence pas remplies et la recourante ne peut pas non plus déduire un droit à une autorisation de séjour sur la base de l'ALCP en lien avec sa présence en Suisse.</w:t>
      </w:r>
    </w:p>
    <w:p>
      <w:r>
        <w:rPr>
          <w:b/>
        </w:rPr>
        <w:t>E. 5</w:t>
      </w:r>
    </w:p>
    <w:p>
      <w:r>
        <w:t>Il résulte des considérants qui précèdent que le recours doit être rejeté et la décision attaquée confirmée. Il se justifie de statuer dans le cas présent sans frais (art. 50 LPA-VD). L'allocation de dépens n'entre par ailleurs pas en considération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