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PE.2019.0220 vom 3. Februar 2020</w:t>
      </w:r>
    </w:p>
    <w:p>
      <w:r>
        <w:t>VD Tribunal cantonal, 2020-02-03, FR</w:t>
      </w:r>
    </w:p>
    <w:p>
      <w:r>
        <w:rPr>
          <w:b/>
        </w:rPr>
        <w:t xml:space="preserve">Quelle: </w:t>
      </w:r>
      <w:r>
        <w:t>https://mcp.opencaselaw.ch/entscheid/vd_omni_PE.2019.0220</w:t>
      </w:r>
    </w:p>
    <w:p>
      <w:r>
        <w:t>FR: VD_OMNI PE.2019.0220 du 3 février 2020</w:t>
      </w:r>
    </w:p>
    <w:p>
      <w:r>
        <w:t>IT: VD_OMNI PE.2019.0220 del 3 febbraio 2020</w:t>
      </w:r>
    </w:p>
    <w:p>
      <w:pPr>
        <w:pStyle w:val="Heading2"/>
      </w:pPr>
      <w:r>
        <w:t>Regeste</w:t>
      </w:r>
    </w:p>
    <w:p>
      <w:r>
        <w:t>A.________/Service de l'emploi Contrôle du marché du travail, Service de la population (SPOP) | Refus du SDE de délivrer une autorisation de travail en faveur d'un ressortissant pakistanais, en vue de lui permettre d'occuper un emploi de cuisinier. En l'occurrence, l'ordre de priorité, au sens de l'art. 21 al. 1 LEI, n'est pas respecté. Le dossier ne contient aucun document attestant de quelconques recherches effectuées par l'employeur pour trouver un travailleur indigène ou européen. En outre, de simples recherches orales ne sauraient être considérées comme suffisantes au regard des exigences posées par la jurisprudence. Recours rejeté.</w:t>
      </w:r>
    </w:p>
    <w:p>
      <w:pPr>
        <w:pStyle w:val="Heading2"/>
      </w:pPr>
      <w:r>
        <w:t>Erwägungen</w:t>
      </w:r>
    </w:p>
    <w:p>
      <w:r>
        <w:rPr>
          <w:b/>
        </w:rPr>
        <w:t>E. 1</w:t>
      </w:r>
    </w:p>
    <w:p>
      <w:r>
        <w:t>Interjeté en temps utile auprès de l'autorité compétente (art. 95 de la loi vaudoise du 28 octobre 2008 sur la procédure administrative [LPA-VD; BLV 173.36]), le recours satisfait aux autres conditions formelles de recevabilité (art. 79 LPA-VD par renvoi de l'art. 99 LPA-VD), de sorte qu'il y a lieu d'entrer en matière sur le fond.</w:t>
      </w:r>
    </w:p>
    <w:p>
      <w:r>
        <w:rPr>
          <w:b/>
        </w:rPr>
        <w:t>E. 2</w:t>
      </w:r>
    </w:p>
    <w:p>
      <w:r>
        <w:t>A titre de mesure d'instruction, le recourant sollicite l'audition de D.________, associée gérante de la société E.________, afin de démontrer que des recherches ont été effectuées auprès de la communauté afghane dans la perspective  d'attribuer le poste de cuisinier litigieux.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PE.2018.0208 du 29 mai 2019 consid. 3a). b) En l'espèce, les éléments figurant au dossier, notamment les explications fournies par C.________ au sujet des recherches entreprises dans le but de pourvoir le poste de cuisinier en cause, permettent au tribunal de se faire une idée complète et précise des faits pertinents. Dès lors, par appréciation anticipée des preuves, le tribunal s’estime en mesure de statuer en connaissance de cause et renoncera en conséquence à l'audition de l'associée gérante de la société E.________, sans qu’il n’en résulte une violation du droit d’être entendu des parties.</w:t>
      </w:r>
    </w:p>
    <w:p>
      <w:r>
        <w:rPr>
          <w:b/>
        </w:rPr>
        <w:t>E. 3</w:t>
      </w:r>
    </w:p>
    <w:p>
      <w:r>
        <w:t>Le litige porte sur le refus d'octroi d'une autorisation de travail en faveur d'un ressortissant pakistanais. a)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de l'ordonnance du 24 octobre 2007 relative à l'admission, au séjour et à l'exercice d'une activité lucrative (OASA; RS 142.201)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b)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(cf. arrêt  GE.2018.0063 du 12 mars 2019 consid. 2a et les références citées). aa) La notion d'intérêts économiques du pays, formulée de façon ouverte à l'art. 18 let. a LEI, concerne au premier chef le domaine du marché du travail et dépend en particulier de la situation effective du marché du travail (Message concernant la loi sur les étrangers et l'intégration du 8 mars 2002 [ci-après: Message LEI]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LEI, ch. 2.4.2 p. 3536, ad art. 17 du projet de loi). Lors de l'appréciation du cas, il convient donc de tenir compte en particulier de la situation sur le marché du travail, de l'évolution économique durable et de la capacité de l'étranger concerné de s'intégrer (cf. les directives et commentaires intitulées "Domaine des étrangers" édictées par le Secrétariat d'Etat aux Migrations (SEM), dans leur version au 1 er juin 2019 [ci-après: directives LEI] ch. 4.3.1). Les étrangers nouvellement entrés dans notre pays ne doivent pas faire concurrence aux travailleurs en Suisse en provoquant, par leur disposition à accepter de moins bonnes conditions de rémunération et de travail, un dumping salarial et social (cf. Message LEI, ch.1.2.3.1 p. 3486). En particulier, les intérêts économiques de la Suisse seront servis lorsque, dans un certain domaine d'activité, il existe une demande durable à laquelle la main-d’œuvre étrangère en cause est susceptible de répondre sur le long terme (cf. Marc Spescha et al., Handbuch zum Migrationsrecht, 2ème édition, Zurich 2015, p. 173 ch. 3.4.1; cf. également ATAF C-5184/2014 du  31 mars 2016 consid. 5.1.2; C-5912/2011 du 26 août 2015 consid. 7.1). bb)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(al. 3). Concernant les efforts de recherche de l'employeur, les directives LEI prévoient en particulier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D'après la jurisprudence constante du Tribunal cantonal,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par des annonces dans la presse et auprès de l’ORP pendant la période précédant immédiatement le dépôt de la demande de main-d’œuvre étrangère (cf. arrêt PE.2018.0193/PE.2018.0194 du 16 novembre 2018 consid. 4c et les références citées). cc) A cela s’ajoute que depuis l’entrée en vigueur de l’art. 21a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p. 22). L’obligation de communiquer les postes vacants concerne les professions, les domaines d’activité ou les régions économiques qui enregistrent un taux de chômage, au niveau suisse, supérieur ou égal à 5% (art. 21a al. 3 ss LEI). Dans les dispositions transitoires applicables du 1 er juillet 2018 au 31 décembre 2019, la valeur seuil est de 8%. Le Secrétariat d'État à l'économie (SECO) dresse chaque année une liste des groupes de profession soumis à l’obligation de communiquer les postes vacants (Directives LEI, ch. 4.3.3, p. 22). dd) L'art. 22 LEI prévoit en outre qu'un étranger ne peut être admis en vue de l'exercice d'une activité lucrative qu'aux conditions de rémunération et de travail usuelles du lieu, de la profession et de la branche. ee) Selon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Les conditions d'application de l'art. 23 al. 3 let. c LEI, dans le domaine de l’hôtellerie et de la restauration, ont été précisées par les directives LEI (ch. 4.7.9.1.1 p. 64), de la manière suivante :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Des conditions ont également été posées concernant les qualifications de la personne dont l'engagement est requis (directive LEI, ch. 4.7.9.1.2 p. 64). Celle-ci doit ainsi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La jurisprudence a précisé que le critère déterminant pour se prononcer sur le caractère spécialisé d’un restaurant reposait sur la haute qualité de l’offre et des services proposés des mets, pour l’essentiel exotiques, dont la préparation et la présentation nécessitent des connaissances particulières qui ne peuvent pas être acquises dans notre pays, ainsi que les connaissances particulières nécessaires à l'élaboration de la cuisine, dans le but de garantir un standard de qualité (PE.2014.0266 du 17 septembre 2014 consid. 2b; PE.2012.0166 du 13 décembre 2012 consid. 3c; PE.2007.0456 du 23 avril 2008 consid. 6bc). c) En l'espèce, il ne ressort pas du dossier que le recourant serait au bénéfice d'un diplôme d'une haute école suisse, si bien qu'un éventuel droit à une autorisation de travail doit être examiné sous l'angle du principe de priorité. Il convient donc de déterminer si l'employeur du recourant a déployé tous les efforts que l'on pouvait attendre de lui afin de trouver un travailleur sur le marché suisse ou européen. En l'occurrence, aux termes des explications données par C.________ pour le compte du restaurant B.________, les démarches visant à repourvoir le poste de cuisinier litigieux auraient été effectuées oralement, auprès de la communauté afghane en Suisse et dans les pays avoisinants, ainsi qu'auprès de la communauté indo-pakistanaise. Pour sa part, le recourant fait valoir qu'il ressortirait des pièces remises à l'autorité intimée que son employeur aurait procédé aux recherches utiles, auprès des communautés précitées. En premier lieu, on constate que le dossier ne contient aucun document (annonces parues, recours aux services d'une agence de placement, dossiers de candidatures, etc.) permettant d'attester de quelconques démarches effectuées par l'employeur en vue d'attribuer le poste litigieux à un travailleur indigène ou à un ressortissant  européen. En second lieu, s'agissant des recherches que l'employeur aurait effectuées oralement auprès des communautés afghane et indo-pakistanaise, elles ne sauraient être considérées comme suffisantes au regard de la jurisprudence précitée. Comme on l'a vu, il convient de se montrer strict quant à l’exigence des recherches faites sur le marché du travail, de sorte que de simples démarches orales ne permettent manifestement pas de retenir que l'employeur aurait entrepris toutes les démarches possibles pour trouver un candidat sur le marché suisse ou européen. Le recourant fait en outre valoir que si l'autorité intimée s'estimait insuffisamment renseignée sur les recherches effectuées, il lui incombait d'interpeller l'employeur sur ce point, en application de l'art. 28 al. 1 LPA-VD, aux termes duquel l'autorité établit les faits d'office. Cet argument ne lui est toutefois d'aucun secours: il ressort en effet du dossier que l'autorité intimée a interpellé le restaurant B.________, le 16 avril 2019 (soit avant de rendre la décision attaquée), en l'invitant à fournir les preuves des démarches entreprises en vue de trouver un travailleur sur le marché indigène ou européen. Par ailleurs, le recourant fait valoir que l'autorité intimée aurait violé son obligation de motiver, découlant du droit d'être entendu (art. 29 al. 2 Cst. et 27 al. 2 Cst-VD), en se contentant d'indiquer dans la décision attaquée qu'" on ne saurait considérer que l'employeur a fait tous les efforts pour trouver un travailleur sur le marché indigène et européen du travail ". A cet égard, il convient de relever qu'il ressort clairement de la décision attaquée que l'autorité intimée considère que les recherches alléguées sont problématiques en ce sens qu'elles n'ont relevés que du bouche-à-oreille, d'une part, et que le poste n'a pas été annoncé à l'ORP, d'autre part. Dans ces circonstances, contrairement à ce que soutient le recourant, il n'y a pas lieu de retenir une violation par l'autorité intimée de l'obligation de motiver. En définitive, le dossier ne contenant aucune preuve tangible de recherches effectuées par l'employeur, il convient de retenir que ce dernier n'a pas entrepris, en temps opportun et de manière appropriée, tous les efforts nécessaires afin que le poste à pourvoir soit attribué à un candidat issu du marché local ou européen. Partant, la condition relative au respect de l'ordre de priorité, au sens de l'art. 21 LEI, n'est pas remplie, ce qui suffit en soi à justifier le refus de l'autorisation sollicitée. Dans ces circonstances, il n'y a pas lieu d'examiner la question de savoir si c'est à juste titre que l'autorité intimée reproche au surplus à l'employeur de ne pas avoir annoncé le poste à l'ORP (en lien avec le taux de chômage enregistré dans la profession, le domaine d'activité ou la région économique concernée), en application de l'art. 21a LEI. Il en va de même de la question de savoir si l'autorité intimée a violé son obligation d'établir les faits pertinents d'office s'agissant de cette question (art. 28 al. 1 LPA-VD). d) Les différentes conditions posées à l'octroi d'une autorisation de travail (art. 20 à 25 LEI) étant cumulatives, la question de savoir si les autres conditions posées à l'octroi de l'autorisation litigieuse sont réalisées - en particulier celles liées aux conditions de travail, aux qualifications du recourant et au caractère spécialisé de l'établissement concerné - peut rester indécise.</w:t>
      </w:r>
    </w:p>
    <w:p>
      <w:r>
        <w:rPr>
          <w:b/>
        </w:rPr>
        <w:t>E. 4</w:t>
      </w:r>
    </w:p>
    <w:p>
      <w:r>
        <w:t>a) Il résulte des considérants qui précèdent que le recours, mal fondé, doit être rejeté et la décision attaquée confirmée. b) Compte tenu de ses ressources, le recourant a été mis au bénéfice de l'assistance judiciaire par décision du 19 juin 2019. L'avocat qui procède au bénéfice de l'assistance judiciaire dans le canton de Vaud peut prétendre à une rémunération au tarif horaire de 180 fr.; l'avocat-stagiaire peut prétendre, quant à lui, à une rémunération au tarif horaire de 110 fr.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3bis al. 1 RAJ). En l'occurrence, compte tenu de la liste des opérations produite le 16 janvier 2020, l’indemnité de Me Mireille Loroch peut être arrêtée à 929 fr. d'honoraires (0,33 h x 180 fr. et 7,9 h x 110 fr.), 46 fr. 45 de débours (929 fr. x 5%) et 75 fr. 10 de TVA (975 fr. 45 x 7,7%). c) Il se justifie de renoncer à la perception d’un émolument (art. 49 al. 1, 50,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