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PE.2019.0174 vom 8. November 2019</w:t>
      </w:r>
    </w:p>
    <w:p>
      <w:r>
        <w:t>VD Tribunal cantonal, 2019-11-08, FR</w:t>
      </w:r>
    </w:p>
    <w:p>
      <w:r>
        <w:rPr>
          <w:b/>
        </w:rPr>
        <w:t xml:space="preserve">Quelle: </w:t>
      </w:r>
      <w:r>
        <w:t>https://mcp.opencaselaw.ch/entscheid/vd_omni_PE.2019.0174</w:t>
      </w:r>
    </w:p>
    <w:p>
      <w:r>
        <w:t>FR: VD_OMNI PE.2019.0174 du 8 novembre 2019</w:t>
      </w:r>
    </w:p>
    <w:p>
      <w:r>
        <w:t>IT: VD_OMNI PE.2019.0174 del 8 novembre 2019</w:t>
      </w:r>
    </w:p>
    <w:p>
      <w:pPr>
        <w:pStyle w:val="Heading2"/>
      </w:pPr>
      <w:r>
        <w:t>Regeste</w:t>
      </w:r>
    </w:p>
    <w:p>
      <w:r>
        <w:t>A.________ à C.________/Service de la population (SPOP) | En refusant de délivrer des autorisations de séjour à deux ressortissants boliviens et à leur fils majeur, entrés en Suisse sans autorisation voici sept ans et qui y sont demeurés clandestinement, l'autorité intimée n'a ni excédé, ni abusé de son pouvoir d'appréciation. A aucun moment, les recourants n’ont cherché durant toute cette période, à régulariser leur situation administrative en Suisse, avant d’être dénoncés, ce qui affaiblit le poids de leur intégration; en outre, ils n’établissent pas l'existence de liens sociaux et professionnels avec la Suisse, notablement supérieurs à ceux qui résulteraient d'une intégration ordinaire. Les recourants ne devraient guère rencontrer de difficultés pour se réintégrer dans leur pays d'origine. Annulation de la décision attaquée en ce qui concerne le fils majeur uniquement et sur un point; l'intéressé achève sa formation professionnelle, de sorte qu'un délai de départ suffisamment long devra lui être imparti pour quitter la Suisse en lieu et place d’un délai de trois mois.</w:t>
      </w:r>
    </w:p>
    <w:p>
      <w:pPr>
        <w:pStyle w:val="Heading2"/>
      </w:pPr>
      <w:r>
        <w:t>Erwägungen</w:t>
      </w:r>
    </w:p>
    <w:p>
      <w:r>
        <w:rPr>
          <w:b/>
        </w:rPr>
        <w:t>E. 1</w:t>
      </w:r>
    </w:p>
    <w:p>
      <w:r>
        <w:t>a) Aux termes de l'art. 92 al. 1 de la loi cantonale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b LPA-VD), le recours est formellement recevable, de sorte qu'il y a lieu d'entrer en matière sur le fond.</w:t>
      </w:r>
    </w:p>
    <w:p>
      <w:r>
        <w:rPr>
          <w:b/>
        </w:rPr>
        <w:t>E. 2</w:t>
      </w:r>
    </w:p>
    <w:p>
      <w:r>
        <w:t>a)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Ressortissants de Bolivie, les recourants ne peuvent invoquer aucun traité en leur faveur; le recours s'examine ainsi uniquement au regard du droit interne, soit la loi fédérale du 16 décembre 2005 sur les étrangers et l’intégration ([LEI; RS 142.20]; jusqu’au 31 décembre 2018, loi fédérale sur les étrangers [LEtr]), et ses ordonnances d’application, sous réserve de l’application de la convention du 4 novembre 1950 de sauvegarde des droits de l’homme et des libertés fondamentales (CEDH; RS 0.101), qui lie également la Suisse.</w:t>
      </w:r>
    </w:p>
    <w:p>
      <w:r>
        <w:rPr>
          <w:b/>
        </w:rPr>
        <w:t>E. 3</w:t>
      </w:r>
    </w:p>
    <w:p>
      <w:r>
        <w:t>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intentées à son encontre (arrêt PE.2018.0005 du 4 mai 2018, confirmé par arrêt 2C_498/2018 du 29 juin 2018; cf. en outre, dans le même sens, arrêts PE.2018.0361 du 31 janvier 2019 et PE.2018.0128 du 4 octobre 2018). Le même sort a par ailleurs été réservé au recours d’époux de nationalité brésilienne, parents de trois enfants en âge de scolarité primaire, vivant et travaillant en Suisse, sans autorisation, depuis treize et douze ans, n’ayant pas établi l'existence de liens sociaux et professionnels avec la Suisse notablement supérieurs à ceux qui résulteraient d'une intégration ordinaire et ne démontrant pas en quoi leur réintégration dans leur pays d'origine serait difficile ou impossible (arrêt PE.2018.0242 du 11 octobre 2018). e)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w:t>
      </w:r>
    </w:p>
    <w:p>
      <w:r>
        <w:rPr>
          <w:b/>
        </w:rPr>
        <w:t>E. 4</w:t>
      </w:r>
    </w:p>
    <w:p>
      <w:r>
        <w:t>a) En l’occurrence, le recours a trait à la situation de deux ressortissants boliviens et de leur fils majeur, entrés en Suisse sans autorisation voici sept ans et qui y sont demeurés clandestinement, au mépris de la loi. Il importe de leur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des recourants n’a pas été implicitement toléré jusque-là par l’autorité intimée, qui en ignorait l’existence. En effet, à aucun moment, les recourants n’ont cherché durant toute cette période, à régulariser leur situation administrative en Suisse, avant d’être dénoncés le 17 mars 2018. Cela affaiblit le poids de leur intégration en Suisse. L’autorité étant mise en quelque sorte devant le fait accompli, il est par conséquent exclu d'accorder un poids prépondérant à ces années durant lesquelles les recourants ont séjourné en Suisse et d’en tenir compte pour statuer sur leur demande tendant à la délivrance d’autorisations de séjour en leur faveur. Le contraire reviendrait en effet à fixer une limite d'âge à partir de laquelle un comportement illégal durable cesserait de l'être, ce qui n’est pas admissible (dans ce sens, arrêt 2C_498/2018 du 29 juin 2018 consid. 6.2). Il importe bien plutôt d’examiner si les recourants peuvent se prévaloir d’autres éléments, faisant apparaître la décision attaquée comme résultant d’un abus du pouvoir d’appréciation de la part de l’autorité intimée. b) Les recourants, qui parlent le français (cf. art. 77d al. 1 OASA), se prévalent pour l’essentiel de ce qu’ils ont toujours travaillé et n’ont jamais eu recours à l’assistance publique. Aux termes de l’art. 77e al. 1 OASA, une personne participe à la vie économique lorsque son revenu, sa fortune ou des prestations de tiers auxquelles elle a droit lui permettent de couvrir le coût de la vie et de s'acquitter de son obligation d'entretien. On rappelle à cet égard que l’exigence de participation à la vie économique repose sur le principe selon lequel l’intéressé doit être apte à subvenir lui-même à ses besoins. L’étranger doit en principe être en mesure de pourvoir à son propre entretien et à celui de sa famille, grâce à son revenu, à sa  fortune ou  à  des  prestations provenant de tiers auxquelles il a droit (cf. Secrétariat d’Etat aux migrations [SEM], Directives et commentaires. I. Domaine des étrangers, état au 1 er juin 2019, ch. 3.31.4.1). A.________ et B.________ ont toujours travaillé pour des ménages privés. Les gains qu’ils ont retirés de cette activité demeurent, certes, modestes mais suffisants au demeurant, puisqu’ils n’ont jamais eu recours aux prestations de l’assistance publique. Il n’en demeure pas moins que durant toutes ces années, ils ont constamment exercé cette activité de façon clandestine et sans la moindre autorisation. En outre, A.________ et B.________ n’ont jamais entrepris de suivre une formation en Suisse, bien que le premier nommé, si l’on se réfère à son curriculum vitae, ait suivi un parcours universitaire dans son pays d’origine et ait même occupé des fonctions officielles importantes (dans la Police, notamment). Enfin, A.________ et B.________ se prévalent sans doute de promesses d’engagements dont ils pourraient chacun retirer un gain mensuel moyen de l’ordre de 6'000 fr., pour le cas où leur statut administratif était régularisé. Il s’agit cependant d’un cumul d’emplois précaires, au service de ménages privés, qui ne manifestent guère une volonté de la participation effective à la vie économique au sens où l’entendent les art. 58a al. 1 let. d LEI et 77e al. 1 OASA. Il ne s’agit nullement d’une intégration que l’on puisse qualifier d’exceptionnelle; les recourants n’établissent pas l'existence de liens sociaux et professionnels avec la Suisse, notablement supérieurs à ceux qui résulteraient d'une intégration ordinaire. Tous ces éléments démontrent en réalité une intégration bien plus aléatoire que celle mise en avant par les recourants. Quant à C.________, on observe qu’il est âgé de vingt-cinq ans et que, dès l’instant où l’art. 44 LEI ne saurait trouver application en ce qui le concerne, son statut administratif ne dépend plus de celui de ses parents. L’art. 30a OASA, qui régit la question de la formation professionnelle initiale des personnes en séjour irrégulier,  n’entre pas en considération dans son cas puisqu’il n’a pas suivi l'école obligatoire de manière ininterrompue durant cinq ans au moins en Suisse (condition exprimée à l’al. 1 let. a). Or, l’intéressé suit actuellement auprès du CPNV une formation appropriée et propre à promouvoir sur le long terme son indépendance économique au sens où l’entend l’art. 77e al. 2 OASA. Cependant, il n’est pas en mesure de subvenir seul à son entretien, dont les besoins sont actuellement assurés par ses parents, grâce au produit d’activités précaires, exercées par surcroît sans la moindre autorisation, comme on l’a vu plus haut. c) Quant à la possibilité pour les recourants de se réintégrer dans leur pays d'origine, le tribunal constate tout d’abord qu’A.________ et B.________ sont âgés de soixante-quatre, respectivement cinquante-et-un ans. Ils sont tous deux en bonne santé; à tout le moins, le contraire n’est pas allégué. Ils ont passé leur enfance, leur adolescence et ont vécu jusqu’en 2004 dans leur pays d’origine, où ils ont conservé des attaches et des liens familiaux, puisque leurs frères et sœurs y vivent, de même que, pour B.________, sa fille née d’une union précédente. Le premier, qui a exercé des fonctions officielles, dispose au demeurant d’une bonne formation et d’une solide expérience professionnelles, qu’il pourrait mettre à profit dans son pays. On note que la seconde a également fréquenté l’université dans son pays. Sans doute, C.________ a, quant à lui, quitté la Bolivie alors qu’il était âgé de dix ans. Toutefois, il sera certainement en mesure de mettre à profit la formation qu’il a entreprise en Suisse et les cours qu’il a suivis. Le moins que l’on puisse dire est que les recourants ne retournent pas dans leur pays d’origine sans le moindre bagage professionnel et que leur situation ne se distingue pas fondamentalement de celle de leurs compatriotes demeurés au pays. Dès lors, ils ne devraient guère rencontrer de difficultés particulières pour s’y réintégrer. d) Au vu de ce qui précède, il apparaît que l’autorité intimée n’a nullement abusé du pouvoir d’appréciation que la loi lui reconnaît en refusant de délivrer aux recourants les autorisations de séjour dont ils ont demandé la délivrance.</w:t>
      </w:r>
    </w:p>
    <w:p>
      <w:r>
        <w:rPr>
          <w:b/>
        </w:rPr>
        <w:t>E. 5</w:t>
      </w:r>
    </w:p>
    <w:p>
      <w:r>
        <w:t>Les recourants évoquent sans doute la décision des autorités du canton de Genève de procéder à la régularisation de ressortissants étrangers dans une situation comparable au demeurant à la leur, sans formellement se plaindre d’une inégalité de traitement. On rappelle à cet égard que ce dernier principe ne s’applique qu’au sein d’une même collectivité, dans la mesure où celle-ci agit effectivement dans le domaine de ses compétences législatives ou administratives (ATF 142 II 87 consid. 6.3.1 p. 101; cf. Jacques Dubey/Jean-Baptiste Zufferey, Droit administratif général, Bâle 2014, n°661, p. 231). Or, les autorités cantonales sont chargées, dans leur domaine de compétence, d’exécuter la législation en la matière (cf. art. 88 al. 1 OASA). Le domaine de compétence des autorités du canton de Genève s’étend aux étrangers résidant sur le territoire de ce canton (cf. art. 12 al. 1 LEI). Les recourants, qui résident dans le canton de Vaud, ne peuvent par conséquent pas se plaindre d’une inégalité de traitement du fait que les autorités de ce canton n’ont pas entrepris, dans l’application de la LEI, une démarche similaire à celles des autorités genevoises. A cela s’ajoute que le caractère de la décision prise par celles-ci est éminemment politique et qu’il est douteux que les recourants puissent en retirer en l’état un droit (dans le même sens, arrêt PE.2017.0150 du 3 août 2017 consid. 4).</w:t>
      </w:r>
    </w:p>
    <w:p>
      <w:r>
        <w:rPr>
          <w:b/>
        </w:rPr>
        <w:t>E. 6</w:t>
      </w:r>
    </w:p>
    <w:p>
      <w:r>
        <w:t>a) La décision attaquée enjoint par ailleurs aux recourants de quitter le territoire suisse dans un délai de trois mois. Ce délai est conforme à l’art. 64d al. 1 LEI, aux termes duquel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Cette exigence découle des prescription imposées à la Suisse en relation avec la reprise de la directive 2008/115/CE du Parlement européen et du Conseil du 16 décembre 2008 relative aux normes et procédures communes applicables dans les Etats membres au retour des ressortissants de pays tiers en séjour irrégulier (cf. art. 7 de cette directive; cf. arrêt 2C_675/2011 du 20 septembre 2011 consid. 2.2). Il peut s’agir notamment de problèmes de santé, de raisons familiales ou d’un long séjour préalable (FF 2009 p. 8043s., not. 8055). S’agissant du départ d’A.________ et de B.________, qui ne font état d’aucune circonstance particulière, ce délai doit être confirmé. b) En revanche, la situation se révèle plus délicate pour C.________ qui a entrepris au mois d’août 2019 sa dernière année de formation au CPNV, afin d’obtenir un CFC d’électronicien en juin 2020, et qui au demeurant a obtenu d’excellents résultats jusqu’alors. Sans doute, l’art. 64d al. 1, 2 ème phrase, LEI peut trouver application en particulier lorsque les enfants en âge de scolarité puissent au moins achever le semestre d’école entamé en Suisse (cf. Danièle Revey, in : Code annoté de droit des migrations, Vol. II, Amarelle/Nguyen [éds], Berne 2017, n°6 ad art. 64d LEtr). Il est cependant indiqué de s’inspirer de cette disposition dans le cas d’espèce également, afin que l’intéressé puisse achever la formation entreprise en août 2015, quand bien même ce dernier devait être conscient de la précarité de sa situation en Suisse et s’attendre à ce que son renvoi soit prononcé. A cela s’ajoute que sa réintégration dans son pays d’origine pourrait se révéler plus aisée si la formation qu’il a suivie en Suisse était sanctionnée par l’obtention d’un diplôme professionnel. Dès lors, il y a lieu de prendre en considération cette situation tout à fait exceptionnelle. La décision attaquée devra être modifiée en ce qui concerne C.________, à qui un délai de départ suffisamment long pour achever sa formation, soit jusqu’au 15 juillet 2020, devra être imparti, en lieu et place d’un délai de trois mois.</w:t>
      </w:r>
    </w:p>
    <w:p>
      <w:r>
        <w:rPr>
          <w:b/>
        </w:rPr>
        <w:t>E. 7</w:t>
      </w:r>
    </w:p>
    <w:p>
      <w:r>
        <w:t>Les considérants qui précèdent conduisent par conséquent à l’admission partielle du recours interjeté par C.________. La décision concernant ce dernier sera annulée et la cause, renvoyée à l’autorité intimée afin qu’un nouveau prononcé de renvoi, au sens du considérant qui précède, lui soit notifié. La décision attaquée est confirmée pour le surplus. Le recours interjeté par A.________ et de B.________ sera en revanche rejeté et la décision attaquée, confirmée en ce qui les concerne. Bien que les recourants succombent, il sera renoncé à percevoir un émolument judiciaire, compte tenu de la modicité de leurs revenus (art. 49 al. 1, 50, 91 et 99 LPA-VD). En revanche,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