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PE.2019.0143 vom 25. November 2019</w:t>
      </w:r>
    </w:p>
    <w:p>
      <w:r>
        <w:t>VD Tribunal cantonal, 2019-11-25, FR</w:t>
      </w:r>
    </w:p>
    <w:p>
      <w:r>
        <w:rPr>
          <w:b/>
        </w:rPr>
        <w:t xml:space="preserve">Quelle: </w:t>
      </w:r>
      <w:r>
        <w:t>https://mcp.opencaselaw.ch/entscheid/vd_omni_PE.2019.0143</w:t>
      </w:r>
    </w:p>
    <w:p>
      <w:r>
        <w:t>FR: VD_OMNI PE.2019.0143 du 25 novembre 2019</w:t>
      </w:r>
    </w:p>
    <w:p>
      <w:r>
        <w:t>IT: VD_OMNI PE.2019.0143 del 25 novembre 2019</w:t>
      </w:r>
    </w:p>
    <w:p>
      <w:pPr>
        <w:pStyle w:val="Heading2"/>
      </w:pPr>
      <w:r>
        <w:t>Regeste</w:t>
      </w:r>
    </w:p>
    <w:p>
      <w:r>
        <w:t>A.________ et B.________ /Service de l'emploi Contrôle du marché du travail, Service de la population (SPOP) | En refusant de délivrer une autorisation de travail en faveur d'un ressortissant d'un Etat tiers, engagé par une entreprise de transport et de déménagement en qualité d'auxiliaire, l'autorité intimée n'a pas abusé de son pouvoir d'appréciation. L'employeur n'a pas démontré qu'il avait entrepris des recherches sur le marché du travail local. Dépourvu de diplômes professionnels, l'intéressé n'est pas un travailleur qualifié. Dans la mesure où il travaille sans autorisation pour cet employeur depuis deux ans, son engagement répond à un motif de convenance personnelle de celui-ci. Rejet du recours.</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notamment, de la loi fédérale du 16 décembre 2005 sur les étrangers ([LEtr]; depuis le 1 er janvier 2019: loi fédérale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la question de savoir si c'est à bon droit que l'autorité intimée a refusé d'accorder une autorisation de travail en faveur de B.________. Ce dernier est ressortissant d’un Etat avec lequel la Suisse n’est liée par aucune convention, de sorte que cette question doit être résolue au regard du droit interne exclusivement, soit la LEI et ses ordonnances d’application. 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LEmp) - décide si l'activité d'un étranger est considérée comme une activité lucrative au sens de l'art. 11 al. 2 LEI et, en cas de doute, il soumet le cas, pour décision, au Secrétariat d’Etat aux migrations ([SEM]; cf. art. 4 OASA). b)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2 ème éd., Zurich 2015, p. 115; Peter Uebersax, in : Code annoté de droit des migrations, Vol. II, Loi sur les étrangers, Nguyen/Amarelle [éds], Berne 2017, n. 25 ad art. 18 LEtr). Selon les Directives et commentaires édictés par le SEM dans le domaine des étrangers, dans leur version en vigueur au 1 er novembre 2019 (ci-après: Directives LEI),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c)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[ATAF] C-5912/2011 du 25 août 2015 consid. 8.3; C 4989/2011 du 23 janvier 2013 consid. 4.3.1; C-8717/2010 du 8 juillet 2011 consid. 6.3). Concernant les efforts de recherche de l’employeur dans le cadre de l’art. 21 LEI, les directives du SEM prévoient en particulier ce qui suit (ch. 4.3.2.2, références citées):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Ces règles correspondent à ce que prévoyaient les art. 7 et 8 de l’ordonnance fédérale du 6 octobre 1986 limitant le nombre des étrangers (OLE), abrogée avec effet au 1 er janvier 2008. A cela s’ajoute que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(SEM, Directives, ch. 4.3.3). In casu, la demande ayant été faite postérieurement au 1 er juillet 2018, l’art. 21a LEI est applicable, vu l’art. 126 al. 1 LEI, applicable par analogie. A supposer cependant que l’on retienne que la demande a été déposée avant cette date – A.________ se prévaut à cet égard d’une demande datant du 16 janvier 2017, à laquelle l’autorité intimée n’aurait pas répondu – le sort du recours ne serait pas différent pour autant, comme on le verra plus loin.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Le Tribunal cantonal a par ailleurs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PE.2015.0069 du 6 août 2015; PE.2012.0285 du 4 décembre 2012). Plus récemment, il a jugé que l'autorité n'avait pas abusé de son pouvoir d'appréciation en refusant de délivrer une autorisation de séjour avec activité lucrative en faveur d'un ressortissant marocain, titulaire d'un diplôme d'ingénieur d'une haute école suisse, dont un bureau d'ingénieurs souhaitait s'assurer les services. L'employeur avait posé comme exigence au recrutement d’un nouvel ingénieur l’apport d’un réseau d’affaires, exigence dictée par le profil de l'intéressé; dès lors, le choix d’engager celui-ci résultait bien plutôt d’une convenance personnelle de l'employeur (arrêt PE.2017.0084 du 16 août 2017). d) Aux termes de l’art. 22 LEI, un étranger ne peut être admis en vue de l'exercice d'une activité lucrative qu'aux conditions de rémunération et de travail usuelles du lieu, de la profession et de la branche.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 Sur ce point, il a été jugé par la CDAP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Dans l’arrêt PE.2017.0084 précité, la CDAP a jugé que la rémunération contractuellement servie à l’intéressé, 5'000 fr. brut par mois, ne correspondait pas à la rétribution d’une personne hautement spécialisée; en outre, l'employeur n’avait pas établi qu’il y ait actuellement pénurie de travailleurs en Suisse dans le génie civil, de telle sorte que l’engagement de l'intéressé soit absolument indispensable d’un point de vue économique. e) En outre, peuvent notamment être admis, en dérogation aux al. 1 et 2, les personnes possédant des connaissances ou des capacités professionnelles particulières, si leur admission répond de manière avérée à un besoin (art. 23 al. 3 let. c LEI). Sont habilités à se réclamer de cette dernière disposition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(ATAF C-5912/2011 du 26 août 2015 consid. 9.3; C-5184/2014, déjà cité, consid. 5.4.2, réf. citée ). Les qualifications personnelles en question constituent une notion juridique indéterminée, pour l'interprétation de laquelle l'autorité dispose d'une certaine latitude de jugement (cf. ATAF F-5531/2016 du 2 octobre 2017 consid. 7.3; C-5420/2012 du 15 janvier 2014 consid. 8.4; C-8717/2010 consid. 7.4).</w:t>
      </w:r>
    </w:p>
    <w:p>
      <w:r>
        <w:rPr>
          <w:b/>
        </w:rPr>
        <w:t>E. 3</w:t>
      </w:r>
    </w:p>
    <w:p>
      <w:r>
        <w:t>En la présente espèce, plusieurs objections dirimantes doivent être opposées à la demande d’autorisation de séjour en vue de l’exercice par B.________ d’une activité lucrative en Suisse. a) Par contrat de travail du 16 janvier 2017, A.________ a engagé B.________ en qualité d’auxiliaire dans le domaine du déménagement et du transport de marchandises, sur appel et pour une durée indéterminée. Elle fait valoir qu’il serait très difficile de trouver de la main d’œuvre «de confiance». Il ressort en effet de ses explications qu’elle se serait auparavant adressée «à l’office du chômage» et que plusieurs candidatures lui auraient été soumises, en vain au demeurant. Cependant, le dossier de la cause ne contient aucune pièce à cet égard et notamment, aucune annonce du poste vacant auprès de l’Office régional du placement compétent, ni de publication d’une offre dans la presse locale. La recourante, qui se prévaut pourtant d’efforts de recherche effectués conformément à l’art. 21 al. 1 LEI, doit être en mesure d’en apporter la preuve (cf. art. 8 CC par analogie), ce qu’elle n’a pas fait en l’occurrence. Par conséquent, il n’est pas démontré qu’elle ait, préalablement à l’engagement de B.________, effectué des recherches sur le marché local du travail en vue de pourvoir ce poste dans son entreprise. b) B.________ n’est titulaire d’aucun diplôme professionnel; il ne se prévaut d’aucune formation professionnelle spéciale, assortie de plusieurs années d’expérience. Par conséquent, il ne saurait être considéré comme un travailleur qualifié au sens où l’entend l’art. 23 al. 1 LEI. La question de savoir s’il pourrait être admis en dérogation au sens où l’entend l’art. 23 al. 3 let. c LEI ne se pose pas davantage. Le poste d’auxiliaire dans le domaine du déménagement et du transport de marchandises ne requiert en effet guère de connaissances ou de capacité professionnelle particulières. Dès lors, A.________ était en mesure de se procurer sur le marché du travail local sans grande difficulté des employés susceptibles d’occuper ce poste. c) Dans ses écritures, A.________ se félicite sans doute de la qualité des prestations de B.________. Or, ce dernier travaille sans autorisation au sein de l’entreprise depuis plus de deux ans. On observe sur ce point que A.________, dans sa demande du 15 février 2019, s’est dite persuadée que le dossier de l’intéressé était en ordre, dès l’instant où une demande en ce sens avait été déposée le 16 janvier 2017. Outre le fait que cette première demande ne figure pas dans le dossier de l’autorité intimée, on relève que son explication est contredite par B.________ lui-même. Lors de son interpellation le 7 mars 2018, ce dernier a en effet reconnu qu’il n’avait pas le droit de travailler en Suisse sans y avoir été préalablement autorisé. Par conséquent, on retiendra que son engagement répond pour l’essentiel à un motif de convenance personnelle de A.________. d) Il n’y a pas lieu d’examiner les autres motifs exposés par les recourants, qui mettent également en avant la situation personnelle de B.________, ceux-ci n’étant de toute façon pas déterminants pour la délivrance d’une autorisation de travail en Suisse. Il appert ainsi que l’autorité intimée n’a pas abusé de son pouvoir d’appréciation en refusant de donner une suite positive à la demande dont elle a été saisie en la présente espèce.</w:t>
      </w:r>
    </w:p>
    <w:p>
      <w:r>
        <w:rPr>
          <w:b/>
        </w:rPr>
        <w:t>E. 4</w:t>
      </w:r>
    </w:p>
    <w:p>
      <w:r>
        <w:t>Il résulte de ce qui précède que le recours doit être rejeté et la décision attaquée, confirmée. Vu l’issue du recours, un émolument judiciaire sera mis à la charge des recourants, qui succombent (art. 49 al. 1, 91 et 99 LPA-VD), solidairement entre eux (art. 51 al. 2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