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PE.2019.0118 vom 26. Juni 2019</w:t>
      </w:r>
    </w:p>
    <w:p>
      <w:r>
        <w:t>VD Tribunal cantonal, 2019-06-26, FR</w:t>
      </w:r>
    </w:p>
    <w:p>
      <w:r>
        <w:rPr>
          <w:b/>
        </w:rPr>
        <w:t xml:space="preserve">Quelle: </w:t>
      </w:r>
      <w:r>
        <w:t>https://mcp.opencaselaw.ch/entscheid/vd_omni_PE.2019.0118</w:t>
      </w:r>
    </w:p>
    <w:p>
      <w:r>
        <w:t>FR: VD_OMNI PE.2019.0118 du 26 juin 2019</w:t>
      </w:r>
    </w:p>
    <w:p>
      <w:r>
        <w:t>IT: VD_OMNI PE.2019.0118 del 26 giugno 2019</w:t>
      </w:r>
    </w:p>
    <w:p>
      <w:pPr>
        <w:pStyle w:val="Heading2"/>
      </w:pPr>
      <w:r>
        <w:t>Regeste</w:t>
      </w:r>
    </w:p>
    <w:p>
      <w:r>
        <w:t>A.________/Service de la population (SPOP) | Confirmation de la révocation de l'autorisation de séjour d'un ressortissant équatorien, né en 1995, arrivé en Suisse en 2014 pour rejoindre sa mère, elle-même titulaire d'une autorisation de séjour UE/AELE par regroupement familial auprès de son conjoint espagnol. Le recourant, âgé de plus de 21 ans, ne dépend plus financièrement de sa mère, laquelle a par ailleurs divorcé, de sorte qu'elle ne bénéficie plus d'un droit de séjour au sens de l'art. 3 Annexe I ALCP. La révocation de l'autorisation de séjour étant fondée sur la perte du droit (dérivé) du recourant à pouvoir bénéficier d'une autorisation de séjour par regroupement familial, il n'y a pas de motif justifiant d'annuler la décision attaquée et d'ordonner au SPOP de suspendre la procédure dans l'attente de l'issue de la procédure pénale en cours. Le recourant ne se trouve pas dans un cas d'extrême gravité. La décision attaquée ne viole pas le droit au respect de sa vie privée et familiale (art. 8 CEDH).</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Le recourant conteste la décision attaquée en faisant valoir que l'autorité intimée aurait dû suspendre la procédure jusqu'à l'issue de la procédure pénale ouverte contre lui. a) Aux termes de l’art. 25 LPA-VD, l'autorité peut, d'office ou sur requête, suspendre la procédure pour de justes motifs, notamment lorsque la décision à prendre dépend de l'issue d'une autre procédure ou pourrait s'en trouver influencée d'une manière déterminante. b) A teneur de l'art. 3, par. 1,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L'art. 3, par. 2, let. a, Annexe I ALCP précise que sont considérés comme membres de la famille, quelle que soit leur nationalité, son conjoint et leurs descendants de moins de 21 ans ou à charge.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c) En l'occurrence, le recourant est âgé de plus de 21 ans et il ne dépend plus financièrement de sa mère, ce qu'il ne conteste pas. A cela s'ajoute que sa mère n'est plus mariée à un ressortissant espagnol, de sorte que cette dernière, même s'il est possible qu'elle dispose encore d'une autorisation de séjour, n'a plus, en tant que ressortissante équatorienne, de droit de séjour au sens de l'article 3 Annexe I ALCP. Le recourant n'est ainsi à l'évidence plus un "membre de la famille d'une personne ressortissant d'une partie contractante ayant un droit de séjour", de sorte que son autorisation de séjour peut être révoquée pour ce motif. Autrement dit, la décision attaquée est une décision de révocation de l'autorisation de séjour du recourant, avec renvoi de Suisse, fondée sur la perte du droit (dérivé) du recourant à pouvoir bénéficier d'une autorisation de séjour par regroupement familial. La révocation de l'autorisation de séjour du recourant n'est donc pas liée à la commission d'infractions pénales. En d'autres termes, elle est admissible, selon le droit fédéral, même en faisant abstraction de la condamnation pénale déjà entrée en force et elle ne dépend pas de l'issue de la procédure pénale en cours. Le fait que les juges pénaux pourraient acquitter le recourant ou le condamner et renoncer à prononcer son expulsion n'a pas d'influence sur la décision attaquée, qui est basée sur d'autres motifs, à savoir la péremption du droit au regroupement familial, à cause de l'écoulement du temps (âge du recourant), de l'absence de prise en charge de la mère et de la perte du droit de séjour de cette dernière. Il n'existe dès lors aucun motif justifiant d'annuler la décision attaquée et d'ordonner à l'autorité intimée de suspendre la procédure.</w:t>
      </w:r>
    </w:p>
    <w:p>
      <w:r>
        <w:rPr>
          <w:b/>
        </w:rPr>
        <w:t>E. 3</w:t>
      </w:r>
    </w:p>
    <w:p>
      <w:r>
        <w:t>Le recourant estime que l'autorité intimée a violé la loi en refusant de lui délivrer une autorisation de séjour pour cas d'extrême gravité. a) Aux termes de l'art. 30 al. 1 let. b LEI, il est possible de déroger aux conditions d’admission (art. 18 à 29) notamment afin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L'art. 31 al. 1 de l'ordonnance fédérale du 24 octobre 2007 relative à l'admission, au séjour et à l'exercice d'une activité lucrative (OASA; RS 142.201) complète, selon son titre marginal, cette disposition;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A.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du respect de la sécurité et de l'ordre publics (let.a), du respect des valeurs de la Constitution (let.b), des compétences linguistiques (let.c) et de la participation à la vie économique ou l'acquisition d'une formation (let.d). Dans sa version précédente, en vigueur jusqu'au 31 décembre 2018, l'art. 31 OASA définissait la notion de cas individuel d'extrême gravité dans les mêmes termes, à trois exceptions près. Les let. a, b et d avaient alors la teneur suivante: " Une autorisation de séjour peut être octroyée dans les cas individuels d’extrême gravité. Lors de l’appréciation, il convient de tenir compte notamment: a.            de l’intégration du requérant; A.           du respect de l'ordre juridique suisse par le requérant; d.            de la situation financière ainsi que de la volonté de prendre part à la vie économique et d'acquérir une formation; " Il apparaît dès lors que les critères posés par l'actuel art. 31 OASA ne changent pas pour l'essentiel par rapport à ceux fixés par l'ancien article 31 OASA, de sorte que la jurisprudence rendue sous l'ancien droit reste applicable.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124 II 110 et les arrêts cités).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 PE.2018.0316 du 14 mai 2019 et les réf.cit.). b) En l'occurrence, le recourant, né en 1995, est arrivé en Suisse en février 2014, soit il y a cinq ans. La durée de son séjour ne saurait être qualifiée de longue, ce d'autant plus que le recourant était âgé de 18 ans à son arrivée, de sorte qu'il a vécu plus longtemps à l'étranger qu'en Suisse. De plus, son intégration ne saurait être considérée comme réussie. Il allègue certes qu'il a appris le français et qu'il n'a jamais dépendu de l'aide sociale. Il n'en demeure pas moins qu'ayant dû interrompre la formation de boulanger qu'il avait entreprise en raison d'un problème médical, il n'a, depuis lors, trouvé ni nouvelle formation ni emploi. A cela s'ajoute qu'il n'a pas respecté l'ordre juridique suisse puisqu'il a été condamné à une peine privative de liberté de six mois pour brigandage. Par ailleurs, arrivé en Suisse alors qu'il était âgé de plus de 18 ans, il a passé la majeure partie de sa vie en Equateur où il a, selon ses propres déclarations, gardé des attaches. Sa réintégration dans son pays d'origine ne saurait ainsi être considérée comme difficile, ce d'autant plus que célibataire et sans enfant, il n'allègue pas souffrir de problème de santé particulier. Il fait certes valoir entretenir des liens très étroits avec sa mère, qui vit actuellement en Suisse. Il est toutefois majeur et il n'habite plus avec elle depuis quelques années. Même si le pays d'origine du recourant est éloigné de la Suisse, il leur sera toujours possible de garder des contacts notamment grâce aux moyens de télécommunication actuels. Le recourant ne se trouve ainsi pas dans un état de détresse personnelle justifiant une exception aux mesures de limitation du nombre des étrangers et l’autorité intimée a considéré à juste titre que les conditions pour la délivrance d’une autorisation de séjour au sens de l’art. 30 al. 1 let. b LEI n’étaient pas réalisées.</w:t>
      </w:r>
    </w:p>
    <w:p>
      <w:r>
        <w:rPr>
          <w:b/>
        </w:rPr>
        <w:t>E. 4</w:t>
      </w:r>
    </w:p>
    <w:p>
      <w:r>
        <w:t>Le recourant invoque également le droit au respect de sa vie privée et familiale au sens des art. 8 de la Convention du 4 novembre 1950 de sauvegarde des droits de l’homme et des libertés fondamentales (CEDH; RS 0.101) et 13 Cst.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a rappelé que 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consid. 3.9). Par ailleurs, un étranger peut, selon les circonstances, se prévaloir du droit au respect de sa vie familiale, également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 cf. ATF 144 II 1 consid. 6.1), par exemple en raison d'une maladie ou d'un handicap graves. b) En l'espèce, le recourant vit en Suisse depuis cinq ans et, comme indiqué au considérant précédent, il n'a pas fait preuve d'une intégration qui puisse être qualifiée de réussie. Par ailleurs, il n'existe aucun lien de dépendance entre lui et sa mère, cette dernière n'étant par ailleurs plus au bénéfice d'un droit de séjour par regroupement familial depuis son divorce. La décision attaquée ne viole dès lors pas le droit au respect de la vie privée et familiale du recourant.</w:t>
      </w:r>
    </w:p>
    <w:p>
      <w:r>
        <w:rPr>
          <w:b/>
        </w:rPr>
        <w:t>E. 5</w:t>
      </w:r>
    </w:p>
    <w:p>
      <w:r>
        <w:t>Au vu de ce qui précède, le recours, entièrement mal fondé, est rejeté et la décision attaquée est confirmée. Compte tenu de ses ressources, le recourant a été mis au bénéfice de l'assistance judiciaire. Le conseil d'office peut prétendre à un tarif horaire de 180 francs en tant qu'avocat (cf. art. 2 al. 1 let. a du règlement du 7 décembre 2010 sur l'assistance judiciaire en matière civile [RAJ; BLV 211.02.3], applicable par renvoi de l'art. 18 al. 5 LPA-VD) ainsi qu'à un remboursement de ses débours fixés forfaitairement à 5% du défraiement hors taxe en première instance judiciaire (cf. art. 3 al. 1bis RAJ). Dans sa liste des opérations, l'avocat fait état de 2 heures 30 (1 + 0,5 + 1) consacrées à des recherches juridiques (consultation de la législation fédérale et de quelques arrêts du Tribunal fédéral) et à 5 heures 48 (2,3 + 3,5) pour la rédaction d'un recours (acte de 11 pages, dont 4,5 pages d'argumentation juridique). En somme, il a consacré plus de 8 heures à exposer les faits et développer son analyse juridique, dans une cause qui ne présente aucune difficulté particulière. Tout bien considéré, une durée totale de 5 heures pour les recherches juridiques et la rédaction du recours correspond à ce qui est nécessaire et approprié. L'indemnité de Me Raphaël Hämmerli est ainsi arrêtée à 1'980 francs (11h x 180 francs), montant auquel s'ajoutent 99 francs de débours (1'980 x 5%). Compte tenu de la TVA au taux de 7,7%, l’indemnité totale s'élève ainsi à 2'239 francs. L'indemnité de conseil d'office est supportée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