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PE.2019.0100 vom 13. August 2019</w:t>
      </w:r>
    </w:p>
    <w:p>
      <w:r>
        <w:t>VD Tribunal cantonal, 2019-08-13, FR</w:t>
      </w:r>
    </w:p>
    <w:p>
      <w:r>
        <w:rPr>
          <w:b/>
        </w:rPr>
        <w:t xml:space="preserve">Quelle: </w:t>
      </w:r>
      <w:r>
        <w:t>https://mcp.opencaselaw.ch/entscheid/vd_omni_PE.2019.0100</w:t>
      </w:r>
    </w:p>
    <w:p>
      <w:r>
        <w:t>FR: VD_OMNI PE.2019.0100 du 13 août 2019</w:t>
      </w:r>
    </w:p>
    <w:p>
      <w:r>
        <w:t>IT: VD_OMNI PE.2019.0100 del 13 agosto 2019</w:t>
      </w:r>
    </w:p>
    <w:p>
      <w:pPr>
        <w:pStyle w:val="Heading2"/>
      </w:pPr>
      <w:r>
        <w:t>Regeste</w:t>
      </w:r>
    </w:p>
    <w:p>
      <w:r>
        <w:t>A.________ /Service de la population (SPOP) | Rejet du recours contre une décision de refus de renouvellement d'une autorisation de séjour. Le ressortissant indien était venu en Suisse en tant qu'étudiant à l'âge de 19 ans. Après avoir entamé plusieurs formations, il a voulu se marier en Suisse avec une ressortissante australienne qui ne résidait pas en Europe, puis commencer à travailler dans les cuisines d'un restaurant indien en Suisse. Le SDE a refusé l'autorisation de travail, décision rendue pendant la procédure devant la CDAP. Le mandataire du recourant avait par ailleurs retiré une première demande d'autorisation de travail avant que le SPOP ne statue.</w:t>
      </w:r>
    </w:p>
    <w:p>
      <w:pPr>
        <w:pStyle w:val="Heading2"/>
      </w:pPr>
      <w:r>
        <w:t>Erwägungen</w:t>
      </w:r>
    </w:p>
    <w:p>
      <w:r>
        <w:rPr>
          <w:b/>
        </w:rPr>
        <w:t>E. 1</w:t>
      </w:r>
    </w:p>
    <w:p>
      <w:r>
        <w:t>Le litige porte sur le refus du SPOP d'accorder une autorisation de séjour au recourant qui est un ressortissant indien.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et l'intégration (LEI; RS 142.20) s'applique aux étrangers dans la mesure où leur statut juridique n'est pas réglé par d'autres dispositions du droit fédéral ou par des traités internationaux conclus par la Suisse. b) En l'espèce, le recourant étant ressortissant de l'Inde, soit d'un Etat tiers, il ne saurait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 2 et 3 LEI). Il est par conséquent soumis aux dispositions de la LEI.</w:t>
      </w:r>
    </w:p>
    <w:p>
      <w:r>
        <w:rPr>
          <w:b/>
        </w:rPr>
        <w:t>E. 2</w:t>
      </w:r>
    </w:p>
    <w:p>
      <w:r>
        <w:t>a) Comme exposé, le recourant invoque l'art. 20 al. 1 OASA. Aux termes de cette disposition, les cantons peuvent délivrer aux étrangers qui ne sont pas couverts par le champ d'application de l'ALCP ou de la Convention instituant l'AELE des autorisations de séjour dans les limites des nombres maximums fixés à l'annexe 2, ch. 1, let. a. Alors qu'il ressort de cette disposition qu'elle n'accorde aucun droit à une autorisation de travail et de séjour, elle n'est pas non plus le point de départ pour l'octroi de telles autorisations. Il est renvoyé à ce qui suit. Aux termes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Selon l'art. 20 LEI, le Conseil fédéral peut limiter le nombre d'autorisations de courte durée initiales et celui des autorisations de séjour initiales octroyées en vue de l'exercice d'une activité lucrative. Le Conseil fédéral peut fixer un nombre maximum d'autorisations pour chaque canton (cf. art. 20 al. 2 LEI). Ce n'est que l'art. 20 LEI qui amène à l'application de l'art. 20 OASA. Le Service de l'emploi (SDE) est l'autorité du marché du travail compétente au sens des art. 40 al. 2 LEI et 83 OASA (cf. art. 88 al. 1 LEI, 64 de la loi vaudoise du</w:t>
      </w:r>
    </w:p>
    <w:p>
      <w:r>
        <w:rPr>
          <w:b/>
        </w:rPr>
        <w:t>E. 5</w:t>
      </w:r>
    </w:p>
    <w:p>
      <w:r>
        <w:t>Le recourant ne fait pas non plus valoir de motifs qui pourraient justifier un cas de rigueur au sens de l'art. 30 al. 1 let. b LEI. Le fait qu'un 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(sur l’ensemble des éléments qui précèdent, cf. notamment M INH S ON N GUYEN , in Nguyen/Amarelle, Code annoté du droit des migrations, Volume II : Loi sur les étrangers (LEtr), n° 16ss ad art. 30; R AHEL D IETHELM , La régularisation des sans-papiers à l'aune de l'art. 30 al. 1 let. b LEtr, une analyse de la jurisprudence du Tribunal administratif fédéral, in Actualité du droit des étrangers, 2016 vol. I, pp. 5s. et 19ss; V UILLE /S CHENK , L'article 14 alinéa 2 de la loi sur l'asile et la notion d'intégration, in Cesla Amarelle [éd.], L'intégration des étrangers à l'épreuve du droit suisse, 2012, p. 114). La durée de séjour du recourant en Suisse n'est certes plus brève. Le recourant a toutefois obtenu des autorisations de séjour en vue de ses formations avec l'obligation de quitter le pays au terme de celles-ci. Dans cette mesure, il savait qu'il devait en principe s'en aller à la fin de ses études. Le recourant n'a pas d'attaches particulières en Suisse. Il n'est pas non plus particulièrement bien intégré. Alors qu'il avait déjà passé quelques années à Genève pour étudier, il a rédigé sa lettre de motivation adressée aux autorités vaudoises en anglais. Il envisageait du reste des cours de langue française de débutant niveau A1 et A2. Il s'est finalement de nouveau inscrit auprès de la dernière école pour une formation donnée en anglais. Le recourant n'a pas non plus fait valoir de problèmes de santé qu'il ne pourrait pas faire traiter dans son pays d'origine; si c'était le cas, on aurait du reste dû se demander s'il pouvait exercer un métier dans les cuisines d'un restaurant. Il a encore ses parents en Inde. Sa fiancée, pour autant qu'un mariage soit toujours envisagé, est australienne, sans domicile ni statut de séjour en Suisse.</w:t>
      </w:r>
    </w:p>
    <w:p>
      <w:r>
        <w:rPr>
          <w:b/>
        </w:rPr>
        <w:t>E. 6</w:t>
      </w:r>
    </w:p>
    <w:p>
      <w:r>
        <w:t>Auprès du SPOP, le recourant a encore invoqué sa volonté de conclure le mariage avec une ressortissante australienne. Devant la CDAP, le recourant n'invoque plus cet argument. Dans cette mesure, il peut être renvoyé aux arguments pertinents du SPOP à ce sujet. On ne voit du reste pas ce qui empêcherait le recourant de célébrer le mariage en Inde ou en Australie.</w:t>
      </w:r>
    </w:p>
    <w:p>
      <w:r>
        <w:rPr>
          <w:b/>
        </w:rPr>
        <w:t>E. 7</w:t>
      </w:r>
    </w:p>
    <w:p>
      <w:r>
        <w:t>Au regard de l'ensemble des éléments, il apparaît que le SPOP n'a pas violé la loi ni abusé de son pouvoir d'appréciation en rendant la décision entreprise. Le recours s'avère dès lors mal fondé et doit être rejeté, la décision attaquée du SPOP étant confirmée. Le SPOP fixera au recourant un nouveau délai de départ. Le recourant qui succombe doit supporter les frais judiciaires, fixés à 600 fr. (art. 49 de la loi vaudoise du 28 octobre 2008 sur la procédure administrative - LPA-VD; BLV 173.36 - et 4 du tarif des frais judiciaires et des dépens en matière administrative, du 28 avril 2015 - TFJDA; BLV 173.36.5.1). Il n'y a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