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PE.2019.0079 vom 23. September 2019</w:t>
      </w:r>
    </w:p>
    <w:p>
      <w:r>
        <w:t>VD Tribunal cantonal, 2019-09-23, FR</w:t>
      </w:r>
    </w:p>
    <w:p>
      <w:r>
        <w:rPr>
          <w:b/>
        </w:rPr>
        <w:t xml:space="preserve">Quelle: </w:t>
      </w:r>
      <w:r>
        <w:t>https://mcp.opencaselaw.ch/entscheid/vd_omni_PE.2019.0079</w:t>
      </w:r>
    </w:p>
    <w:p>
      <w:r>
        <w:t>FR: VD_OMNI PE.2019.0079 du 23 septembre 2019</w:t>
      </w:r>
    </w:p>
    <w:p>
      <w:r>
        <w:t>IT: VD_OMNI PE.2019.0079 del 23 settembre 2019</w:t>
      </w:r>
    </w:p>
    <w:p>
      <w:pPr>
        <w:pStyle w:val="Heading2"/>
      </w:pPr>
      <w:r>
        <w:t>Regeste</w:t>
      </w:r>
    </w:p>
    <w:p>
      <w:r>
        <w:t>A.________ /Service de la population (SPOP) | Confirmation du refus du SPOP de délivrer une autorisation d'établissement à une ressortissante turque mariée depuis plus de cinq ans à un ressortissant suisse. Le SPOP pouvait à juste titre retenir que ce couple dépendrait durablement de l'aide sociale, aucun élément ne laissant penser que l'Office AI serait sur le point de statuer sur la demande de prestations AI déposée par le mari et/ou que la recourante pourrait intégrer le marché du travail dans un avenir proche. La recourante s'étant vu renouveler son autorisation de séjour, son droit de présence en Suisse n'est pas remis en question.</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de sorte qu'il convient d'entrer en matière sur le fond.</w:t>
      </w:r>
    </w:p>
    <w:p>
      <w:r>
        <w:rPr>
          <w:b/>
        </w:rPr>
        <w:t>E. 2</w:t>
      </w:r>
    </w:p>
    <w:p>
      <w:r>
        <w:t>La recourante conteste le refus de l’autorité intimée de transformer l'autorisation de séjour, dont elle bénéficie en raison de son mariage avec un ressortissant suisse, en une autorisation d’établissement. a) A titre préalable, il convient de préciser que le 1 er janvier 2019 est entrée en vigueur la modification du 16 décembre 2016 de la loi fédérale du 16 décembre 2005 sur les étrangers (LEtr; RS 142.20), dont le titre est désormais loi fédérale sur les étrangers et l'intégration (LEI; cf. RO 2017 6521). L'art. 126 al. 1 LEI, dont la teneur n'a pas changé après le 31 décembre 2018, prévoit que les demandes déposées avant l'entrée en vigueur de la loi sont régies par l'ancien droit. A défaut d'autre norme transitoire prévue par la LEI ou par le Conseil fédéral, il convient donc d'appliquer les dispositions de la LEI dans leur teneur en vigueur avant la novelle du 1 er janvier 2019, dans la mesure où la demande d'autorisation d'établissement est intervenue le 14 août 2018. b) Aux termes de l'art. 42 al. 1 LEI, le conjoint d'un ressortissant suisse a droit à l'octroi d'une autorisation de séjour et à la prolongation de sa durée de validité à condition de vivre en ménage commun avec lui. L'art. 42 al. 3 LEI - dans sa teneur en vigueur jusqu'au 31 décembre 2018, applicable en l'espèce – dispose qu'après un séjour légal ininterrompu de cinq ans, le conjoint a droit à l'octroi d'une autorisation d'établissement. Ces droits au regroupement familial s'éteignent toutefois, en vertu de l'art. 51 al. 1 let. b LEI, s'il existe un motif de révocation au sens de l'art. 63 LEI. II découle de la systématique de l'art. 63 al. 1 LEI que l'énumération des cas de révocation est alternative et qu'il suffit donc que l'un soit donné pour que la condition objective de révocation de l'autorisation, respectivement de refus d'octroi de l'autorisation, soit remplie. Tel est notamment le cas si l'étranger ou une personne dont il a la charge dépend durablement et dans une large mesure de l'aide sociale (art. 63 al. 1 let. c LEI).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(TF 2C_95/2019 du 13 mai 2019 consid.3.4.2). Pour évaluer le risque de dépendance durable à l'aide sociale,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(TF 2C_95/2019 déjà cité consid. 3.4.1 et les réf.cit.; 2C_173/2017 du 19 juin 2017 consid.4). Le Tribunal fédéral a jugé que les critères de l'importance et du caractère durable de la dépendance à l'aide sociale étaient, notamment, réunis dans les cas d'un couple assisté à hauteur de 80'000 francs sur une durée de cinq ans et demi (ATF 119 Ib 1 consid. 3a) ou d'un couple ayant obtenu 50'000 francs en l'espace de deux ans (arrêt 2C_672/2008 du 9 avril 2009 consid. 3.3). La révocation respectivement le refus d'octroi de l'autorisation d'établissement  ne se justifie que si la pesée des intérêts à effectuer fait apparaître la mesure comme proportionnée aux circonstances (cf. art. 96 LEI; ATF 135 II 377 consid. 4.3; TF 2C_265/2011 du 27 septembre 2011 consid. 6.1; CDAP PE.2015.0152 du 13 juin 2016; PE.2015.0373 du 8 février 2016). Les autorités compétentes doivent notamment prendre en compte, en exerçant leur pouvoir d'appréciation, des intérêts publics, de la situation personnelle de l'étranger, ainsi que son degré d'intégration (ATF 135 II 377 consid. 4.3). c) En l'occurrence, il ressort du dossier et de la décision attaquée que la recourante et sa famille dépendent des services sociaux depuis le 1 er novembre 2017 et qu'ils ont reçu à ce titre un montant de plus de 70'000 francs. La recourante fait certes valoir que cette situation est temporaire car elle est due au fait que son mari a cessé de percevoir les indemnités versées par son assurance accident le 31 octobre 2017 et qu'il est dans l'attente d'une décision rendue par l'Office AI. Il n'en demeure pas moins qu'elle durait depuis plus d'une année au moment où la décision attaquée a été rendue et que l'aide qui a été versée à la recourante et sa famille au cours de cette période est importante. A cela s'ajoute que le danger que la recourante et sa famille continuent de dépendre durablement des services sociaux ne peut être écarté. En effet, quand bien même une demande AI a été déposée par le mari de la recourante et qu'une expertise médicale doit être mise en œuvre selon la lettre du 8 novembre 2018, la recourante n'a pas démontré, ni même allégué d'ailleurs qu'une décision serait sur le point d'être rendue ou pourrait l'être rapidement. La demande de prestations AI est en cours d'instruction et rien n'indique que l'Office AI se prononcera prochainement ou se serait prononcé au cours de la présente procédure. Par ailleurs, aucun élément ne permet actuellement de retenir que la recourante pourrait intégrer le marché du travail dans un avenir proche. Au contraire, elle indique qu'elle a dû renoncer à chercher un emploi car elle doit aider son mari pour accomplir les actes de la vie quotidienne. Partant, l'autorité pouvait à juste titre retenir que la recourante et son mari ne se trouvaient pas en l'état en mesure de pourvoir à leur entretien dans le futur. Epouse d'un ressortissant suisse avec lequel elle a eu un enfant, la recourante a certes un intérêt privé important à demeurer en Suisse. Son droit de présence en Suisse n'est toutefois pas remis en question par la décision entreprise puisque l'autorité intimée a renouvelé son autorisation de séjour. La recourante a également la faculté de présenter une nouvelle demande d'autorisation d'établissement lorsque le motif ayant conduit au refus aura disparu, comme l'a relevé l'autorité intimée dans la décision attaquée. La décision attaquée n'est ainsi pas contraire au principe de proportionnalité. L'autorité intimée n'a ainsi pas abusé de sa liberté d'appréciation ni n'a excédé celle-ci en refusant de transformer l'autorisation de séjour de la recourante en autorisation d'établissement pour des motifs de dépendance à l'aide sociale.</w:t>
      </w:r>
    </w:p>
    <w:p>
      <w:r>
        <w:rPr>
          <w:b/>
        </w:rPr>
        <w:t>E. 3</w:t>
      </w:r>
    </w:p>
    <w:p>
      <w:r>
        <w:t>Au vu des considérants qui précèdent, le recours doit être rejeté et la décision entreprise confirmée. Les frais judiciaires, arrêtés à 600 francs, sont mis à la charge de la recourante et il n'est pas alloué de dépens (cf. art. 49, 55, 56, 91 et 99 LPA-VD et art. 4 du tarif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