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PE.2019.0066 vom 23. Januar 2020</w:t>
      </w:r>
    </w:p>
    <w:p>
      <w:r>
        <w:t>VD Tribunal cantonal, 2020-01-23, FR</w:t>
      </w:r>
    </w:p>
    <w:p>
      <w:r>
        <w:rPr>
          <w:b/>
        </w:rPr>
        <w:t xml:space="preserve">Quelle: </w:t>
      </w:r>
      <w:r>
        <w:t>https://mcp.opencaselaw.ch/entscheid/vd_omni_PE.2019.0066</w:t>
      </w:r>
    </w:p>
    <w:p>
      <w:r>
        <w:t>FR: VD_OMNI PE.2019.0066 du 23 janvier 2020</w:t>
      </w:r>
    </w:p>
    <w:p>
      <w:r>
        <w:t>IT: VD_OMNI PE.2019.0066 del 23 gennaio 2020</w:t>
      </w:r>
    </w:p>
    <w:p>
      <w:pPr>
        <w:pStyle w:val="Heading2"/>
      </w:pPr>
      <w:r>
        <w:t>Regeste</w:t>
      </w:r>
    </w:p>
    <w:p>
      <w:r>
        <w:t>A.________ /Service de la population (SPOP) | Rejet du recours contre la décision du SPOP refusant une autorisation de séjour en vue de mariage à un ressortissant équatorien, qui désire épouser une compatriote au bénéfice d'une autorisation de séjour, avec qui il aurait un fils. Le recourant a été condamné en 2005 à 28 mois d'emprisonnement notamment pour actes d'ordre sexuel avec une enfant. Renvoyé dans son pays d'origine, il est revenu illégalement en Suisse en 2011 et il a été condamné à trois reprises entre 2013 et 2015 pour entrée et séjour illégaux. Il a continué de vivre illégalement en Suisse, jusqu'à ce qu'il dépose la présente demande d'autorisation de séjour en 2018, de sorte qu'il n'a pas été capable de se conformer à l'ordre juridique suisse. Ses chances d'obtenir une autorisation de séjour une fois marié n'apparaissent ainsi pas comme étant clairement supérieures à celles d'un refus. Recours au TF rejeté (2C_183/2020 du 21 avril 2020).</w:t>
      </w:r>
    </w:p>
    <w:p>
      <w:pPr>
        <w:pStyle w:val="Heading2"/>
      </w:pPr>
      <w:r>
        <w:t>Erwägungen</w:t>
      </w:r>
    </w:p>
    <w:p>
      <w:r>
        <w:rPr>
          <w:b/>
        </w:rPr>
        <w:t>E. 1</w:t>
      </w:r>
    </w:p>
    <w:p>
      <w:r>
        <w:t>Déposé en temps utile et selon les formes prescrites par la loi vaudoise du 28 octobre 2008 sur la procédure administrative (LPA-VD, BLV 173.36; cf. art. 75, 79, 95 et 99), le recours est recevable, de sorte qu'il y a lieu d'entrer en matière sur le fond.</w:t>
      </w:r>
    </w:p>
    <w:p>
      <w:r>
        <w:rPr>
          <w:b/>
        </w:rPr>
        <w:t>E. 2</w:t>
      </w:r>
    </w:p>
    <w:p>
      <w:r>
        <w:t>Le recourant requiert son audition, ainsi que celle de B._______, en indiquant que ces mesures d'instruction permettraient d'exposer plus précisément son parcours depuis sa condamnation en 2005, ainsi que la relation qu'il entretient avec sa fiancée et leur fils, et de démontrer que l'écoulement du temps a été bénéfique s'agissant de son comportement. a) Le droit d'être entendu, tel qu'il est garanti par les art. 29 al. 2 Cst. et 27 al. 2 de la Constitution du 14 avril 2003 du Canton de Vaud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140 I 285 consid. 6.3.1 et les références). Les garanties ancrées aux art. 29 al. 2 Cst et 27 al. 2 Cst-VD ne comprennent toutefois pas le droit d'être entendu oralement (ATF 140 I 68 consid. 9.6.1; TF 2D_51/2018 du 17 janvier 2019 consid. 4.1; CDAP PE.2018.0208 du 29 mai 2019). Devant la cour de céans, la procédure est en principe écrite (art. 27 al. 1 LPA-VD). Aux termes de l'art. 34 LPA-VD, les parties participent à l'administration des preuves (al. 1) et peuvent notamment présenter des offres de preuve (al. 2 let. d) - telles que leur audition (cf. art. 29 al. 1 let. a LPA-VD) ou encore des témoignages (cf. art. 29 al. 1 let. f LPA-VD).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2C_954/2018 du 3 décembre 2018 consid. 5; PE.2018.0208 précité). b) En l'occurrence, le Tribunal ne doute pas des sentiments qui lient le recourant à sa fiancée, de sorte qu'il n'estime pas nécessaire de les entendre à ce sujet. S'agissant du parcours de vie de l'intéressé, en particulier depuis sa condamnation en 2005, il a eu l'occasion d'exposer par écrit au cours de la présente procédure les éléments qu'il estimait importants. Par ailleurs, le dossier du SPOP contient les éléments nécessaires pour que le Tribunal puisse statuer. I l n'est dès lors pas donné suite aux mesures d'instruction sollicitées par le recourant.</w:t>
      </w:r>
    </w:p>
    <w:p>
      <w:r>
        <w:rPr>
          <w:b/>
        </w:rPr>
        <w:t>E. 3</w:t>
      </w:r>
    </w:p>
    <w:p>
      <w:r>
        <w:t>Le recourant fait valoir que la décision attaquée viole le droit au mariage garanti par les art. 12 CEDH et 14 Cst., ainsi que son droit à la protection de la vie familiale garanti par l'art. 8 CEDH en faisant primer l'intérêt public à l'éloigner de Suisse sur son intérêt privé à y rester. a) Eu égard à l'art. 12 CEDH, respectivement à l'art. 14 Cst. (qui est interprété de manière analogue, cf. ATF 139 I 37 consid. 3.5.2), la jurisprudence retient que, dans la mesure où l'officier de l'état civil ne peut pas célébrer le mariage d'un étranger qui n'a pas établi la légalité de son séjour en Suisse (cf. art. 98 al. 4 du Code civil suisse du 10 décembre 1907 [CC; RS 210]),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et l'intégration [LEI; RS 142.20], jusqu'au 31 décembre 2018, loi fédérale sur les étrangers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octroyer le droit de prolonger son séjour en Suisse pour s'y marier, alors qu'il ne pourra de toute façon pas, par la suite, y vivre avec sa famille (cf. ATF 139 I 37 consid. 3.5.2; TF 2C_107/2018 du 19 septembre 2018 consid. 4.1; PE.2019.0065 du 18 avril 2019). Selon l'art. 17 al. 2 LEI, auquel la jurisprudence précitée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cette disposition est également appliquée par analogie aux personnes entrées illégalement en Suisse (cf. ATF 139 I 37 consid. 2.1). Une telle autorisation temporaire, dite de "séjour procédural", doit être décidée sur la base d'une appréciation sommaire des chances de succès de la requête au fond, conformément à la pratique en matière de mesures provisionnelles (ATF 139 I 37 consid. 2.2). Aux termes de l’art. 6 de l'ordonnance relative à l'admission, au séjour et à l'exercice d'une activité lucrative du 24 octobre 2007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L'engagement d'une procédure matrimoniale ou familiale ne confère aucun droit lors de la procédure d'autorisation (cf. art. 6 al. 2 OASA), mais sera prise en considération dans l’appréciation sommaire des conditions de l’art. 17 al. 2 LEI, en particulier lorsqu'il existe déjà une vie familiale digne de protection au sens de l'art. 8 CEDH, à laquelle l'application de l'art. 17 al. 1 LEI porterait atteinte (ATF 139 I 37 consid. 2.2). Dès lors que l'art. 17 al. 2 LEI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b) En l'occurrence, aucun élément ne permet de douter que le mariage entre le recourant et sa fiancée, avec laquelle il allègue avoir eu un enfant, ne serait pas sérieusement voulu et viserait en réalité à éluder les règles sur l'admission et le séjour des étrangers en Suisse. La procédure de mariage se serait vraisemblablement poursuivie si le recourant avait pu établir la légalité de son séjour en Suisse, si bien que les projets d'union peuvent être considérés comme suffisamment concrets. Le recourant réalise ainsi la première condition pour obtenir une autorisation de séjour en vue de préparer son mariage. c) Il convient ensuite d'examiner si, au regard des circonstances du cas d'espèce, il apparaît clairement que le recourant, une fois marié, pourrait être admis à séjourner en Suisse. Ceci conduit à se demander si les conditions de fond qui président à l'octroi d'une autorisation de séjour "ordinaire", c'est-à-dire d'un titre non limité à la préparation et célébration du mariage, seraient réunies en cas de mariage. aa) Selon l'art. 44 al. 1 LEI, le conjoint étranger du titulaire d'une autorisation de séjour a droit à l'octroi d’une autorisation de séjour et à la prolongation de sa durée de validité à condition notamment de vivre en ménage commun avec lui (let.a). Toutefois, conformément à l'art. 62 al. 1 let. b LEI, ce droit s'éteint lorsque l'étranger a été condamné à une peine privative de longue durée, c'est-à-dire de plus d'un an (cf. ATF 139 I 145 consid. 2.1; TF 2C_198/2018 du 25 juin 2018 consid. 4.4). Tel est le cas en l'occurrence, compte tenu de la condamnation du recourant, en 2005, à 28 mois d'emprisonnement. A cela s'ajoute qu'il a été condamné à trois autres reprises entre 2013 et 2015 pour des infractions à la loi fédérale sur les étrangers, de sorte qu'il réalise également le motif de révocation prévu par l'art. 62 al. 1 let. c LEI, selon lequel l'autorité peut révoquer une autorisation de séjour notamment si l'étranger attente de manière répétée à l'ordre public en Suisse. bb) Un étranger peut, selon les circonstances, se prévaloir de l'art. 8 par. 1 CEDH, qui garantit le respect de la vie privée et familiale (comme l'art. 13 al. 1 Cst.), pour s'opposer à l'éventuelle séparation de sa famille. Pour pouvoir invoquer cette disposition, il doit pouvoir justifier d'une relation étroite et effective avec une personne de sa famille ayant un droit de résider durablement en Suisse, ce qui suppose qu'elle ait la nationalité suisse ou qu'elle soit au bénéfice d'une autorisation d'établissement ou d'un droit certain à une autorisation de séjour (ATF 135 I 143 consid. 1.3.1). La jurisprudence admet exceptionnellement qu'une simple autorisation annuelle de séjour confère un droit de présence durable, à condition que l'étranger disposant de l'autorisation de séjour puisse se prévaloir d'une intégration sociale et professionnelle particulièrement intense (cf. ATF 130 II 281 consid. 3.2) ou de motifs d'ordre humanitaire (cf. ATF 137 I 351 consid. 3.1; TF 2C_1023/2016 du 11 avril 2017 consid. 5.1; TF 2C_360/2016 du 31 janvier 2017 consid. 5.1).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135 I 153 consid. 2.2.1). L'examen selon l'art. 8 par. 2 CEDH inclut la prise en considération de l'intérêt supérieur de l'enfant et de son droit à ne pas être séparé de ses parents (art. 3 par. 1 et 9 par. 1 CDE [RS 0.107]; cf. arrêts TF 2C_613/2014 du 8 janvier 2015 consid. 3.6; 2C_356/2014 du 27 août 2014 consid. 4.1; voir aussi ATF 140 I 145 consid. 3.2). cc) En l'espèce, la question de savoir si et dans quelle mesure le recourant pourrait obtenir une autorisation de séjour sur la base de l'art. 8 par 1 CEDH - ce qui suppose une relation stable et durable avec une femme qui est au bénéfice d'un droit certain à une autorisation de séjour, ce que l'autorité intimée ne reconnaît pas - peut demeurer indécise, dans la mesure où tant sous l'angle du droit interne que du droit conventionnel, le refus d'une autorisation de séjour doit faire l'objet d'une pesée des intérêts et d'un examen de la proportionnalité (cf. art. 96 al. 1 LEI et art. 8 par. 2 CEDH; ATF 139 II 121 consid. 6.5.1; 135 II 377 consid. 4.3; TF 2C_854/2015 du 2 mars 2016 consid. 5.2; PE.2017.0094 du 23 mai 2017 consid. 3d et e ). Dans ce cadre, Il convient de prendre en considération la gravité de l'éventuelle faute commise, le temps écoulé depuis l'infraction, le comportement de l'auteur pendant cette période, le degré de son intégration, la durée du séjour en Suisse, ainsi que le préjudice que l'intéressé et sa famille auraient à subir du fait de la mesure (ATF 139 I 16 consid. 2.2.1; 135 II 377 consid. 4.3). Quand le refus d'octroyer une autorisation de séjour se fonde sur la commission d'une infraction, la peine infligée par le juge pénal est le premier critère servant à évaluer la gravité de la faute et à procéder à la pesée des intérêts en présence. A cet égard, le Tribunal fédéral se montre particulièrement rigoureux en présence d'infractions à la législation fédérale sur les stupéfiants, d'actes de violence criminelle et d'infractions contre l'intégrité sexuelle (cf. ATF 139 II 121 consid. 5.3; ATF 137 II 297 consid. 3.3). L'existence d'une condamnation pénale ne peut pas faire indéfiniment échec à l'examen d'une (nouvelle) demande d'autorisation de séjour (TF 2C_176/2017 du 23 juin 2017 consid. 4.3; 2C_1224/2013 du 12 décembre 2014 consid. 5.1.1; 2C_953/2013 du 16 septembre 2014 consid. 3.3 et les références citées). L'intérêt public général à la prévention du danger que représente l'éloignement de l'étranger perd en importance avec les années. Si l'étranger s'est comporté correctement depuis lors et qu'il ne présente plus de risque pour l'intérêt public, les considérations de prévention générale ne sont en principe pas à elles seules suffisantes pour justifier une limitation continuelle au regroupement familial ( ATF 136 II 5 consid. 4.2; TF 2C_176/2017 du 23 juin 2017 consid. 4.3) . L'écoulement du temps doit cependant s'accompagner à tout le moins d'un changement de comportement de l'intéressé, ce qui commence par le respect des décisions prononcées (cf. TF 2C_555/2015 du 21 décembre 2015 consid. 5.3 et les arrêts cités). Il peut ainsi conduire à un autre résultat de la pesée d'intérêts qu'au moment de la mesure d'éloignement, à condition toutefois d'être conjugué avec un comportement correct de la part de l'intéressé (TF 2C_950/2014 du 9 juillet 2015 consid. 5.4.4; 2C_46/2014 du 15 septembre 2014 consid. 6.4.1; 2C_1170/2013 consid. 3.3; 2C_36/2009 du 20 octobre 2009 consid. 3.2). Un tel comportement a été nié dans le cas d'un étranger qui s'était opposé à son renvoi de Suisse et avait multiplié les procédures pour pouvoir y demeurer (utilisation d'alias, clandestinité, retour en Suisse après une expulsion forcée et nonobstant une interdiction d'entrée en Suisse, détention administrative, différents projets de mariage, etc.; cf TF 2C_950/2014 du 9 juillet 2015 consid. 5.4.4). dd) En l'occurrence, le recourant a été condamné à 28 mois d'emprisonnement notamment pour actes d'ordre sexuel avec un(e) enfant, soit une infraction pour laquelle la jurisprudence se montre particulièrement rigoureuse. La condamnation du recourant à cette peine date certes de 2005, soit d'il y a presque 15 ans, pour des faits commis en 2003, et rien au dossier ne montre que le recourant aurait à nouveau porté atteinte à l'intégrité sexuelle d'une personne depuis sa sortie de prison en septembre 2005. Il n'en demeure pas moins qu' après sa condamnation pénale, le recourant, qui avait été renvoyé par vol spécial à destination de son pays d'origine, est revenu illégalement en Suisse en 2011 selon ses déclarations, alors même qu'il était sous le coup d'une décision d'interdiction d'entrée en Suisse. Entre 2013 et 2015, il a été condamné à deux reprises pour entrée et séjour illégal en Suisse et à une reprise pour entrée illégale. Le recourant allègue vivre une relation stable depuis cinq ans avec sa fiancée. Il n'apparaît ainsi n'avoir plus véritablement quitté le territoire suisse depuis 2013, continuant d'y vivre de façon illégale, jusqu'à ce qu'il dépose en septembre 2018 la demande d'autorisation de séjour en vue de mariage. Force est ainsi de constater que l e recourant n'a à ce jour manifestement pas été capable de se conformer à l'ordre juridique suisse. A cela s'ajoute que le recourant a passé son enfance et son adolescence en Equateur, et qu'il y est retourné quand il y a été renvoyé en septembre 2005, de sorte que sa réintégration dans son pays d'origine ne devrait pas lui poser des difficultés insurmontables. Quant à sa fiancée, originaire du même pays, on ne voit pas ce qui l'empêcherait de réaliser sa vie familiale avec son fiancé dans leur pays commun d'origine. Compte tenu de ce qui précède, les chances du recourant d'obtenir une autorisation de séjour pour regroupement familial une fois marié n'apparaissent pas comme étant clairement supérieures à celles d'un refus . Il en découle que, bien que rien ne permette de douter des véritables intentions matrimoniales des fiancés, l'autorité intimée n'a pas violé la législation fédérale ni la CEDH en considérant que la deuxième condition qui préside à l'exercice du droit au mariage du recourant en Suisse fait défaut. On ne se trouve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sur ce cas de figure, arrêts TF 2C_950/2014 du 9 juillet 2015 consid. 6.2; 2C_962/2013 du 13 février 2015 consid. 3). En effet, rien n'indique que les démarches en vue du mariage ne pourraient pas être poursuivies depuis l'étranger ou que le recourant et sa fiancée n'auraient aucune possibilité juridique de se marier dans un pays autre que la Suisse, notamment en Equateur, pays d'origine du recourant et de sa fiancée. Ces circonstances suffisent à garantir le droit au mariage des intéressés (cf. arrêt 2C_950/2014 du 9 juillet 2015 consid. 6.4).</w:t>
      </w:r>
    </w:p>
    <w:p>
      <w:r>
        <w:rPr>
          <w:b/>
        </w:rPr>
        <w:t>E. 4</w:t>
      </w:r>
    </w:p>
    <w:p>
      <w:r>
        <w:t>Au vu de ce qui précède, le recours, entièrement mal fondé, doit être rejeté et la décision attaquée confirmée. Les frais de justice, arrêtés à 600 francs (art. 4 al. 1 du tarif des frais judiciaires et des dépens en matière administrative du 28 avril 2015 [TFJDA; BLV 173.36.5.1]), devraient en principe être supportés par le recourant, qui succombe (art. 49 al. 1 LPA-VD). Celui-ci ayant été mise au bénéfice de l'assistance judiciaire par décision du 4 avril 2019, ces frais seront toutefois laissés à la charge de l'Etat (art. 122 al. 1 let. b du code de procédure civile du 19 décembre 2008 [CPC; RS 272], applicable par renvoi de l'art. 18 al. 5 LPA-VD). Le conseil d'office peut prétendre à un tarif horaire de 180 francs en tant qu'avocat (cf. art. 2 al. 1 let. a du règlement du</w:t>
      </w:r>
    </w:p>
    <w:p>
      <w:r>
        <w:rPr>
          <w:b/>
        </w:rPr>
        <w:t>E. 7</w:t>
      </w:r>
    </w:p>
    <w:p>
      <w:r>
        <w:t>décembre 2010 sur l'assistance judiciaire en matière civile [RAJ; BLV 211.02.3], applicable par renvoi de l'art. 18 al. 5 LPA-VD) ainsi qu'à un remboursement de ses débours fixés forfaitairement à 5% du défraiement hors taxe en première instance judiciaire (cf. art. 3 al. 1bis RAJ). Dans sa liste des opérations, le conseil d'office du recourant a annoncé avoir consacré un temps total de 11.1 heures au traitement du dossier, ce qui paraît raisonnable compte tenu de la nature du cas. L'indemnité de Me Charlotte Rossier est ainsi arrêtée à 1'998 francs (11.1 h x 180 francs), montant auquel s'ajoutent 100 francs de débours (1'998 x 5%). Compte tenu de la TVA au taux de 7,7%, soit 161,50 francs, l’indemnité totale s'élève ainsi à 2'259,50 francs, arrondi à 2'260 francs. L'indemnité du conseil d'office est supportée provisoirement par le canton (cf. art. 122 al. 1 let. a CPC), le recourant étant rendu attentif au fait qu'il est tenu de rembourser le montant ainsi avancé dès qu'il est en mesure de le faire (art. 123 al. 1 CPC). Il incombe au Service juridique et législatif de fixer les modalités de ce remboursement (art. 5 RAJ).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