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PE.2019.0021 vom 29. Oktober 2019</w:t>
      </w:r>
    </w:p>
    <w:p>
      <w:r>
        <w:t>VD Tribunal cantonal, 2019-10-29, FR</w:t>
      </w:r>
    </w:p>
    <w:p>
      <w:r>
        <w:rPr>
          <w:b/>
        </w:rPr>
        <w:t xml:space="preserve">Quelle: </w:t>
      </w:r>
      <w:r>
        <w:t>https://mcp.opencaselaw.ch/entscheid/vd_omni_PE.2019.0021</w:t>
      </w:r>
    </w:p>
    <w:p>
      <w:r>
        <w:t>FR: VD_OMNI PE.2019.0021 du 29 octobre 2019</w:t>
      </w:r>
    </w:p>
    <w:p>
      <w:r>
        <w:t>IT: VD_OMNI PE.2019.0021 del 29 ottobre 2019</w:t>
      </w:r>
    </w:p>
    <w:p>
      <w:pPr>
        <w:pStyle w:val="Heading2"/>
      </w:pPr>
      <w:r>
        <w:t>Regeste</w:t>
      </w:r>
    </w:p>
    <w:p>
      <w:r>
        <w:t>A.________/Service de la population (SPOP) | Ressortissant ivoirien mis au bénéfice d'une autorisation de séjour à la suite de son mariage en 2015 avec une ressortissante suisse d'origine ivoirienne. Séparation des époux en 2017. Recours de l'intéressé contre la décision du SPOP révoquant son autorisation de séjour et prononçant son renvoi de Suisse. Après la dissolution de l'union conjugale, l'autorisation de séjour peut être prolongée aux conditions prévues à l'art. 50 LEI. En l'espèce, celles-ci ne sont pas réalisées. En effet, la vie commune des conjoints n'a pas atteint la duré légale de trois ans au minimum (art. 50 al. 1 let. a LEI). Le recourant échoue en outre à établir que la poursuite de son séjour en Suisse s'imposerait pour des raisons personnelles majeures au sens de l'art. 50 al. 1 let. b et al. 2 LEI; en effet, les maltraitances psychologiques qu'il reproche à son épouse de lui avoir fait subir n'atteignent pas l'intensité requise par la jurisprudence pour caractériser les violences conjugales susceptibles de justifier un cas de rigueur au sens de la loi; par ailleurs, la réintégration du recourant dans son pays d'origine n'apparaît pas fortement compromise. Rejet du recours et confirmation de la décision attaquée.</w:t>
      </w:r>
    </w:p>
    <w:p>
      <w:pPr>
        <w:pStyle w:val="Heading2"/>
      </w:pPr>
      <w:r>
        <w:t>Erwägungen</w:t>
      </w:r>
    </w:p>
    <w:p>
      <w:r>
        <w:rPr>
          <w:b/>
        </w:rPr>
        <w:t>E. 1</w:t>
      </w:r>
    </w:p>
    <w:p>
      <w:r>
        <w:t>a) 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en principe, lieu d'entrer en matière sur le fond. b) Le recours se dirige contre la décision du SPOP de révoquer l'autorisation de séjour octroyée au recourant et de prononcer son renvoi de Suisse. L'autorisation de séjour est arrivée à échéance le 4 août 2019, de sorte qu'on pourrait se demander s'il y a encore un objet du litige. Cependant, il ressort du dossier que le SPOP entend non seulement révoquer l'autorisation de séjour en cours, mais également refuser une prolongation de celle-ci, alors que le recourant requiert de pouvoir rester en Suisse pas uniquement jusqu'au 4 août 2019, mais de manière durable au-delà de cette date. Dans cette mesure et notamment par économie de procédure, il se justifie d'admettre que le litige n'est pas devenu sans objet, mais a, au contraire, gardé son objet et que le recourant a gardé un intérêt digne de protection au sens de l'art. 75 let. a LPA-VD à ce que son recours soit traité sur le fond.</w:t>
      </w:r>
    </w:p>
    <w:p>
      <w:r>
        <w:rPr>
          <w:b/>
        </w:rPr>
        <w:t>E. 2</w:t>
      </w:r>
    </w:p>
    <w:p>
      <w:r>
        <w:t>Le recourant requiert que lui soit adressé copie du rapport de police daté du 17 septembre 2018 établi à la suite de la réquisition du SPOP auprès des services de police.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réf. cit.). b) En l'occurrence, la pièce dont le recourant demande production figure déjà au dossier du SPOP. Par avis du 11 février 2019, le juge instructeur a informé le recourant qu'il disposait de la faculté de venir consulter son dossier auprès du tribunal de céans. Dans cette mesure, le droit d'être entendu du recourant a ainsi été respecté. Ce dernier n'a en définitive pas fait usage de cette faculté, si bien que l'on peut admettre qu'il a renoncé à sa réquisition.</w:t>
      </w:r>
    </w:p>
    <w:p>
      <w:r>
        <w:rPr>
          <w:b/>
        </w:rPr>
        <w:t>E. 3</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à la même date. En l'occurrence, la décision attaquée a été rendue le 27 décembre 2018, soit antérieurement à l'entrée en vigueur des révisions précitées, de sorte que les questions de fond litigieuses demeurent, en principe, régies par l'ancien droit, donc celui applicable avant le 1 er janvier 2019 (cf. art. 126 al. 1 LEI, applicable par analogie; Tribunal fédéral [TF] 2C_737/2019 du 27 septembre 2019 consid. 4.1).</w:t>
      </w:r>
    </w:p>
    <w:p>
      <w:r>
        <w:rPr>
          <w:b/>
        </w:rPr>
        <w:t>E. 4</w:t>
      </w:r>
    </w:p>
    <w:p>
      <w:r>
        <w:t>Sont litigieux la révocation de l'autorisation de séjour du recourant et son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b) En l'occurrence, ressortissant ivoirien, le recourant ne peut se prévaloir d'aucun traité que la Suisse aurait conclu avec son pays d'origine. Le recours s'examine par conséquent principalement au regard du droit interne, soit essentiellement de la LEI, cela sous réserve de la Convention de sauvegarde des droits de l'homme et des libertés fondamentales du 4 novembre 1950 (CEDH; RS 0.101) .</w:t>
      </w:r>
    </w:p>
    <w:p>
      <w:r>
        <w:rPr>
          <w:b/>
        </w:rPr>
        <w:t>E. 5</w:t>
      </w:r>
    </w:p>
    <w:p>
      <w:r>
        <w:t>Le recourant a été mis au bénéfice d'une autorisation de séjour en août 2016, à la suite de son mariage avec une ressortissante suisse. Le couple s'est séparé officiellement le 31 octobre 2017. a) Selon l'art. 50 al. 1 let. a LEI, après dissolution de la famille, le droit du conjoint à l'octroi d'une autorisation de séjour et à la prolongation de celle-ci en vertu de l'art. 42 LEI subsiste si l'union conjugale a duré au moins trois ans et que l'intégration est réussie. Ces deux conditions sont cumulatives (ATF 136 II 113 consid. 3.3.3; TF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133 consid. 3.2 in fine et 3.3).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LEI; cf. ATF 134 II 1 consid. 4.1). Selon l'art. 77 al. 4 OASA,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dans sa version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2C_364/2017 du 25 juillet 2017 consid. 6.1; 2C_861/2015 du 11 février 2016 consid. 5.1; 2C_777/2013 du 17 février 2014 consid. 3.2). b)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TF 2C_1003/2015 du 7 janvier 2016 consid. 4.1). c) La jurisprudence admet un droit de séjour pour violence conjugale lorsque l'auteur inflige des mauvais traitements systématiques à la victime pour affirmer sa supériorité et exercer un contrôle sur elle (TF 2C_295/2012 du 5 septembre 2012 consid. 3.2). La violence conjugale doit cependant revêtir une certaine intensité (ATF 138 II 229 consid. 3.2.1, traduit et résumé in RDAF 2013 I, p. 532; ATF 136 II 1 consid. 5.3). La violence peut être de nature tant physique que psychique, mais elle doit être intense au point que l'intégrité physique ou psychique de la victime soit gravement compromise en cas de maintien de la communauté conjugale et que la poursuite de l'union conjugale ne puisse être raisonnablement exigée (TF 2C_648/2015 du 23 août 2016 consid. 3.1 et 3.2; 2C_771/2013 du 11 novembre 2013 consid. 3.1; 2C_1258/2012 du 2 août 2013 consid. 5.1; 2C_363/2012 du 1 er octobre 2012 consid. 3.2; 2C_748/2011 du 11 juin 2012 consid. 2.2.1; 2C_155/2011 du 7 juillet 2011 consid. 4). Les scènes de ménage telles qu'il s'en passe couramment ou une dispute violente unique ne répondent pas à cette condition (TF 2C_155/2011 du 7 juillet 2011 consid. 4.3), pour autant qu'il ne s'agisse pas d'un acte de violence particulièrement grave (TF 2C_982/2010 du 3 mai 2011 consid. 3.3).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TF 2C_784/2013 du 11 février 2014 consid. 4.1; 2C_690/2010 du 25 janvier 2011 consid. 3.2 et réf. cit.; CDAP PE.2017.0286 du 27 octobre 2017, retenant qu'un unique épisode de violence domestique allégué – consistant en un coup à la jambe et un coup au ventre – ne revêtait pas l'intensité permettant de retenir l'existence de raisons majeures). Par contre, la violence psychique (par ex. sous forme d'insultes continuelles, d'humiliations, de menaces, etc.) ou la violence sociale et économique (par ex. le fait de cloîtrer la victime, de lui interdire de travailler, de lui confisquer son salaire, etc.) peuvent atteindre un degré de pression inadmissible et donc pertinent sous l'angle du droit. Cependant, force est de souligner que tout développement défavorable et contraignant d'une relation de couple qui ne correspondrait pas à la propre vision de la victime ne saurait justifier ni un cas de rigueur après la séparation ni la prolongation du droit de séjour en Suisse (TF 2C_821/2011 du 21 juin 2012 consid. 3.2.2). L'étranger est soumis à un devoir de collaboration étendue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TF 2C_968/2012 du 22 mars 2013 consid. 3.2; 2C_1125/2015 du 18 janvier 2016 consid. 4.1 et 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d)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137 II 345 consid. 3.2.3; TF 2C_1188/2012 du 17 avril 2013 consid. 4.1).</w:t>
      </w:r>
    </w:p>
    <w:p>
      <w:r>
        <w:rPr>
          <w:b/>
        </w:rPr>
        <w:t>E. 6</w:t>
      </w:r>
    </w:p>
    <w:p>
      <w:r>
        <w:t>a) En l'espèce, il n'est pas contesté que l'union conjugale des époux a duré moins de trois ans, de sorte qu'il ne s'impose pas d'examiner si la seconde des conditions de l'art. 50 al. 1 let. a LEI – à savoir si l'intégration du recourant est réussie – est remplie. Il reste dès lors à déterminer si des raisons personnelles majeures au sens de l'art. 50 al. 1 let. b LEI pourraient justifier la poursuite du séjour du recourant en Suisse. b) En l'occurrence, le recourant fait valoir qu'il a été victime de violences conjugales. A cet égard, il expose, que, alors qu'il était " totalement dépendant de [s] on épouse dès [s] on arrivée en Suisse ", il avait été " victime d'un contrôle, de chantage, de violence économique et de pressions psychologiques importantes " de la part de celle-ci. Il précise que l'intensité de ces violences l'avait amené à consulter une psychiatre en juin 2017, car il ne se sentait " plus du tout capable de faire face seul à la situation ". A l'appui de ses allégations, le recourant a produit un certificat médical du 21 janvier 2019 ainsi qu'un rapport médical du 4 février 2019, tous deux établis par la Dresse F.________, psychiatre et psychothérapeute à ******** (VD). Il ressort de ces pièces que cette praticienne a suivi le recourant du 4 mai au 5 juin 2017 et de nouveau depuis le 30 janvier 2019. Elle expose que le recourant est venu la consulter en raison principalement de difficultés conjugales, l'intéressé décrivant son épouse " comme adoptant un comportement dictatorial ". Elle évoque un " patient triste, anxieux, plutôt ralenti mais avec quelques moments d'agitation, irritabilité ", dont " le discours est parsemé de thèmes pessimistes, sentiments de dévalorisation, culpabilité, reproches incessants ". Finalement, elle pose le diagnostic de trouble dépressif récurrent, épisode moyen avec syndrome somatique, et prescrit un traitement psychiatrique intégré avec des séances de soutien psychologique et un traitement médicamenteux. Interrogé à la demande du SPOP par les services de police le 17 septembre 2018 sur sa situation, le recourant a expressément déclaré que son couple n'avait pas connu de violences conjugales d'ordre physique ou psychique, mais que son épouse " l'infantilisait beaucoup, lui parlant comme un enfant à la maison ". Il a précisé que si la vie commune s'était bien déroulée au début, des " écarts de langage " étaient ensuite apparus chez son épouse, laquelle " l'infantilisait ". Le couple avait discuté de cette situation qui se détériorait, mais sans parvenir à trouver de solution. Par la suite, son épouse lui avait par deux fois retiré la clé du domicile conjugal et il s'était alors rendu au poste de police. Son épouse l'avait finalement " mis dehors " du logement et il avait dû aller dormir chez un ami, puis chez Caritas à Vevey. Après cela, les époux s'étaient officiellement séparés. Si les violences domestiques d'ordre psychique sont sanctionnées au même titre que les violences physiques, celles-ci doivent cependant présenter un degré de pression inadmissible pour être reconnues au sens de l'art. 50 al. 1 let. b LEI; elles doivent ainsi se distinguer par leur intensité, leur caractère systématique et leur durée dans le temps (cf. consid. 5c ci-dessus). En l'occurrence, après avoir d'abord lui-même exclu l'existence de violences domestiques à son encontre, le recourant s'en prévaut à présent, en demeurant toutefois relativement vague et général quant à la nature et au déroulement des violences alléguées. Egalement entendue le 17 septembre 2018, son épouse a confirmé l'existence d'un conflit conjugal, en expliquant toutefois que le recourant ne s'impliquait plus dans les tâches domestiques, et qu'il " rentrait très tard " et " souvent ivre ", ce qui rendait impossible la discussion avec lui. Elle a indiqué que les conjoints avaient tenté en vain de discuter, qu'elle avait fixé un ultimatum au recourant et que ce dernier avait finalement demandé la séparation. S'agissant de la confiscation de la clé du domicile, elle a précisé que cette démarche ne visait pas à faire partir le recourant mais à l'inciter à parler (cf. procès-verbal de l'audience de mesures protectrices de l'union conjugale du 31 octobre 2017 produit par le recourant). Du reste, le recourant a exposé à sa psychiatre qu'il avait eu des relations difficiles déjà avec sa mère qu'il avait décrite comme froide et trop autoritaire. Cela étant, au regard des déclarations des époux, on ne saurait retenir que le conflit conjugal qui les a divisés, bien qu'âpre en apparence, aurait atteint une intensité susceptible de justifier un cas de rigueur au sens de la loi. Le rapport susmentionné de la psychiatre du recourant ne modifie pas ce constat; en effet, cette pièce ne fait qu'attester d'un état dépressif récurrent du recourant dans le cadre de la situation de conflit conjugal qu'il connaissait; on ne saurait rien en retirer de plus, ce diagnostic s'avérant objectivement indépendant de l'existence d'éventuelles violences domestiques. De plus, le traitement auprès de la psychiatre n'a duré qu'un seul mois en mai/juin 2017 et n'a pas été maintenu ou repris à la suite notamment jusqu'à la séparation des conjoints en septembre 2017 ou dans les suites immédiates de cette séparation; ce n'est qu'après le dépôt du présent recours fin janvier 2019 que le recourant a à nouveau sollicité l'aide de sa psychiatre. Dès avril 2019, il a exercé un emploi à un taux d'activité de 90%; il avait déjà travaillé à temps complet entre mars et septembre 2018. c) Pour le reste, il n'apparaît pas que le recourant puisse se prévaloir d'autres raisons personnelles majeures de demeurer en Suisse. Le recourant et son épouse vivent séparés depuis octobre 2017, et aucun projet de reprise de la vie commune n'est évoqué. La durée de son séjour en Suisse (2 ans et 4 mois au moment de la décision attaquée) est courte, et son intégration dans le pays ne se révèle au demeurant pas spécialement réussie (il a notamment bénéficié des prestations du RI pour un montant total de plus de 19'000 francs). Par ailleurs, âgé de 45 ans, le recourant est relativement jeune et en bonne santé (à tout le moins, le contraire n'est-il nullement établi), et il ne devrait pas rencontrer de difficultés insurmontables en cas de retour dans son pays d'origine, où il est né et a vécu avant de venir en Suisse en 2016. Il y a donc nécessairement tissé non seulement des attaches familiales, mais encore sociales et culturelles importantes. Il y conserve de plus un réseau familial et social non négligeable (il fait partie d'une fratrie nombreuse et est en outre père d'une fille de 11 ans issue d'une précédente relation, qui vit auprès de sa propre mère [donc la grand-mère de l'enfant] selon les indications issues du rapport médical susmentionné de sa psychiatre), ce qui lui permettra de faciliter son retour. Certes, il n'est pas contesté que la situation économique et sociale en Côte d'Ivoire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Le recourant ne rend dès lors pas vraisemblable que sa réintégration dans son pays d'origine serait fortement compromise. d) Dans ces circonstances, il convient de constater que l'autorité intimée n'a pas abusé de son pouvoir d'appréciation en considérant que le recourant ne pouvait tirer aucun droit de l'art. 50 al. 1 et 2 LEI.</w:t>
      </w:r>
    </w:p>
    <w:p>
      <w:r>
        <w:rPr>
          <w:b/>
        </w:rPr>
        <w:t>E. 7</w:t>
      </w:r>
    </w:p>
    <w:p>
      <w:r>
        <w:t>L'autorisation de séjour du recourant étant révoquée, c'est à juste titre que l'autorité intimée a prononcé le renvoi de Suisse de l'intéressé (art. 64 al. 1 let. c LEI).</w:t>
      </w:r>
    </w:p>
    <w:p>
      <w:r>
        <w:rPr>
          <w:b/>
        </w:rPr>
        <w:t>E. 8</w:t>
      </w:r>
    </w:p>
    <w:p>
      <w:r>
        <w:t>Les considérants qui précèdent conduisent au rejet du recours et à la confirmation de la décision attaquée. Vu l'issue du pourvoi, le SPOP est chargé de fixer un nouveau délai de départ au recourant et de veiller à l'exécution de sa décision. Succombant, le recourant devrait en principe supporter les frais de la présente procédure judiciaire. Les frais de justice sont toutefois laissés à la charge de l'Etat vu sa situation financière, qu'il s'agit de sa première procédure devant le tribunal de céans et du fait qu'il doit quitter le pays (cf. art. 49 et 50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