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PE.2019.0003 vom 21. Oktober 2019</w:t>
      </w:r>
    </w:p>
    <w:p>
      <w:r>
        <w:t>VD Tribunal cantonal, 2019-10-21, FR</w:t>
      </w:r>
    </w:p>
    <w:p>
      <w:r>
        <w:rPr>
          <w:b/>
        </w:rPr>
        <w:t xml:space="preserve">Quelle: </w:t>
      </w:r>
      <w:r>
        <w:t>https://mcp.opencaselaw.ch/entscheid/vd_omni_PE.2019.0003</w:t>
      </w:r>
    </w:p>
    <w:p>
      <w:r>
        <w:t>FR: VD_OMNI PE.2019.0003 du 21 octobre 2019</w:t>
      </w:r>
    </w:p>
    <w:p>
      <w:r>
        <w:t>IT: VD_OMNI PE.2019.0003 del 21 ottobre 2019</w:t>
      </w:r>
    </w:p>
    <w:p>
      <w:pPr>
        <w:pStyle w:val="Heading2"/>
      </w:pPr>
      <w:r>
        <w:t>Regeste</w:t>
      </w:r>
    </w:p>
    <w:p>
      <w:r>
        <w:t>A.________ /Service de la population (SPOP) | Confirmation du refus de l'autorité d'entrer en matière sur une demande de nouvel examen d'un refus définitif de délivrer une autorisation de séjour. Ressortissant sénégalais, le recourant est entré en Suisse depuis 2005 pour y effectuer des études et son autorisation de séjour, à caractère temporaire, a pris fin en 2014. Depuis lors, il continue à y résider au gré des effets suspensifs en lien avec les procédures de droit des étrangers intentées auprès de l’autorité intimée et les recours formés auprès de la CDAP. Il n’est par conséquent pas fondé à invoquer la protection de la vie privée garantie par l'art. 8 CEDH, telle qu'elle ressort de la jurisprudence récente du Tribunal fédéral. L'autorité intimée était ainsi fondée à ne pas entrer en matière sur la demande. Recours au TF déclaré irrecevable (2C_988/2019 du 26 novembre 2019).</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PE.2018.0413 du 16 janvier 2019 consid. 6a; PE.2017.0028 du 22 février 2017 consid. 2a; PE.2016.0212 du 1 er février 2017 consid. 3b; PE.2016.0390 du 11 janvier 2017 consid. 2a; PE.2016.0351 du 23 décembre 2016 consid. 2a).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Une nouvelle appréciation juridique ou une nouvelle jurisprudence ne sauraient être assimilée à un fait (v. Jean-François Poudret, Commentaire de la loi fédérale d'organisation judiciaire, vol. V, Berne 1992, n° 2.2.1 ad 137). Une modification ultérieure de la pratique ou de la jurisprudence ne constitue en règle générale pas une raison suffisante pour réexaminer une décision (arrêts 2C_481/2013 du 30 mai 2013 consid. 2.2; 2C_1010/2011 du 31 janvier 2012 consid. 2.2; 2C_114/2011 du 26 août 2011 consid. 2.2). Exceptionnellement, un changement de jurisprudence peut toutefois entraîner la modification d'une décision entrée en force lorsque la nouvelle jurisprudence a une telle portée générale qu'il serait contraire au droit à l'égalité de ne pas l'appliquer dans tous les cas en maintenant une ancienne décision (cf. ATF 135 V 215 consid. 5.1.1; arrêt 2C_195/2011 du 17 octobre 2011 consid. 3.3.2). Il faut toutefois que la jurisprudence nouvelle n'ait pas pu être invoquée et appliquée lors de la procédure initiale (ATF 136 II 177 consid. 2.2.1; arrêt 2C_154/2010 du 8 novembre 2010 consid. 2.2). En outre, le recourant n'est en droit d'exiger un réexamen que dans la mesure où il démontre dans quelle mesure le nouveau droit doit conduire à un autre résultat (cf. arrêts 2C_1010/2011 du 31 janvier 2012 consid. 2.2; 2C_154/2010 du 8 novembre 2010 consid. 2.2 et les références citées). 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3</w:t>
      </w:r>
    </w:p>
    <w:p>
      <w:r>
        <w:t>Dans son dispositif, la décision ci-devant attaquée, du 5 décembre 2018, déclare la demande de nouvel examen formée par le recourant irrecevable, subsidiairement la rejette, ce qui peut prêter à confusion. Il ressort toutefois de la motivation de cette décision qu'il s'agit en réalité d'un refus d'entrée en matière, sans examen au fond. En pareil cas, la cour se limitera à déterminer si le refus d'entrer en matière sur la demande de réexamen du recourant était légitime ou non. a) A l’appui de sa demande, le recourant a invoqué l’arrêt 8C_105/2017 du 8 mai 2018, publié aux ATF 144 I 266. Dans cet arrêt,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(consid. 3.9 pp. 277/279). Lorsqu'en revanche, l’étranger réside en Suisse au bénéfice d'une autorisation de séjour pour études, l'étranger ne peut pas se prévaloir de la protection de la vie privée garantie par l'art. 8 CEDH (ibid.,  p. 277). Le Tribunal fédéral n’est pas revenu sur cette jurisprudence, fondée sur le caractère temporaire d'emblée connu de l'autorisation de séjour pour études, qui ne confère précisément pas un droit de séjour durable (arrêts 2D_30/2019 du 14 août 2019 consid. 3.2; 2C_459/2019 du 17 mai 2019 consid. 3). b) En l'espèce, il ressort du dossier que le recourant a séjourné en Suisse au bénéfice d'une autorisation de séjour pour études qui a pris fin le 18 février 2014. Depuis lors, il continue à y résider au gré des effets suspensifs en lien avec les procédures de droit des étrangers intentées auprès de l’autorité intimée et les recours formés auprès de la CDAP. Il n’est par conséquent pas fondé à invoquer la protection de la vie privée garantie par l' art. 8 CEDH . Dès lors à supposer même qu’il s’agisse d’un motif recevable, ce qui est très douteux, la précision de jurisprudence qu’il fait valoir ne permet de toute façon pas au recourant d’obtenir la modification de la décision du 18 juillet 2017. Il appert ainsi que la demande de nouvel examen n’étant pas recevable, c’est à juste titre que l’autorité intimée n’est pas entrée en matière. c) A titre subsidiaire, le recourant demande sans doute à l’autorité intimée de lui délivrer une autorisation de séjour pour une année supplémentaire, afin de valider le diplôme obtenu à la HEIG-VD. Aux termes de l’art. 79 al. 2, 1 ère phrase, LPA-VD, applicable devant le Tribunal cantonal par renvoi de l’art. 99 LPA-VD, le recourant ne peut pas prendre des conclusions qui sortent du cadre fixé par la décision attaquée. Or, cette conclusion, sur laquelle l’autorité intimée ne s’est pas prononcée dans sa décision, est exorbitante au litige. Quoi qu’il en soit, on rappelle que dans la décision du 18 juillet 2017, définitive et exécutoire, l’autorité intimée a refusé au recourant, non seulement la délivrance d'une autorisation de séjour pour activité indépendante mais également la délivrance d’une nouvelle autorisation de séjour temporaire pour études. Le recourant n’invoquant aucun fait nouveau susceptible de conduire à une modification de cette décision sur ce point, l’autorité intimée n’était pas davantage tenue d’entrer en matière sur cette demande.</w:t>
      </w:r>
    </w:p>
    <w:p>
      <w:r>
        <w:rPr>
          <w:b/>
        </w:rPr>
        <w:t>E. 4</w:t>
      </w:r>
    </w:p>
    <w:p>
      <w:r>
        <w:t>Les considérants qui précèdent conduisent ainsi le Tribunal à rejeter le recours, dans la mesure de sa recevabilité, et à confirmer la décision attaquée. Le sort du recours commande que le recourant supporte les frais de justice (art. 49 al. 1,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