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PE.2018.0508 vom 1. Juli 2019</w:t>
      </w:r>
    </w:p>
    <w:p>
      <w:r>
        <w:t>VD Tribunal cantonal, 2019-07-01, FR</w:t>
      </w:r>
    </w:p>
    <w:p>
      <w:r>
        <w:rPr>
          <w:b/>
        </w:rPr>
        <w:t xml:space="preserve">Quelle: </w:t>
      </w:r>
      <w:r>
        <w:t>https://mcp.opencaselaw.ch/entscheid/vd_omni_PE.2018.0508</w:t>
      </w:r>
    </w:p>
    <w:p>
      <w:r>
        <w:t>FR: VD_OMNI PE.2018.0508 du 1 juillet 2019</w:t>
      </w:r>
    </w:p>
    <w:p>
      <w:r>
        <w:t>IT: VD_OMNI PE.2018.0508 del 1 luglio 2019</w:t>
      </w:r>
    </w:p>
    <w:p>
      <w:pPr>
        <w:pStyle w:val="Heading2"/>
      </w:pPr>
      <w:r>
        <w:t>Regeste</w:t>
      </w:r>
    </w:p>
    <w:p>
      <w:r>
        <w:t>A.________/Service de la population (SPOP) | Ressortissante philippine, née en 1960, ayant vécu de manière ininterrompue en Suisse depuis onze ans au moins, sans statut légal. Elle invoque, en vain, l'existence d'un cas de rigueur pour obtenir la régularisation de son statut. La longue durée du séjour, qui plus est illégal, ne saurait à elle seule jouer un rôle décisif dans l'examen pour la reconnaissance d'un cas de rigueur. Indépendance financière et absence de dettes établies, certes, mais pas non plus de réussite professionnelle remarquable (aide de ménage et garde d'enfants). Pas de liens prépondérants avec la Suisse. Son fils habite toujours aux Philippines. La recourante fait valoir qu'elle vit avec un citoyen suisse depuis près de cinq ans. A défaut de mariage sérieusement envisagé ou de circonstances particulières prouvant la stabilité et l'intensité de la relation, la recourante ne saurait invoquer la protection de l'art. 8 CEDH. Aucun élément ne permet de considérer qu'il s'agit d'un cas personnel d'extrême gravité. Recours rejeté. Recours au TF irrecevable (2C_722/2019 du 2 septembre 2019).</w:t>
      </w:r>
    </w:p>
    <w:p>
      <w:pPr>
        <w:pStyle w:val="Heading2"/>
      </w:pPr>
      <w:r>
        <w:t>Erwägungen</w:t>
      </w:r>
    </w:p>
    <w:p>
      <w:r>
        <w:rPr>
          <w:b/>
        </w:rPr>
        <w:t>E. 1</w:t>
      </w:r>
    </w:p>
    <w:p>
      <w:r>
        <w:t>a) Aux termes de l'art. 92 al. 1 de la loi cantonale du 28 octobre 2008 sur la procédure administrative (LPA-VD; BLV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c LPA-VD), le recours est formellement recevable, de sorte qu'il y a lieu d'entrer en matière sur le fond.</w:t>
      </w:r>
    </w:p>
    <w:p>
      <w:r>
        <w:rPr>
          <w:b/>
        </w:rPr>
        <w:t>E. 2</w:t>
      </w:r>
    </w:p>
    <w:p>
      <w:r>
        <w:t>La recourante requiert la mise en œuvre d'une audition afin qu'elle soit entendue, de même que C.________, en particulier sur son parcours de vie et leur relation.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ATF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ATF 130 II 425 consid. 2.1 et les arrêts cités; ATF 122 V 157 consid. 1d; ATF 119 Ib 492 consid. 5b/bb). b) En l’occurrence, sur la base d’une appréciation anticipée des preuves, le tribunal s'estime suffisamment renseigné par les éléments au dossier, de sorte que les mesures d'instruction requises par la recourante n'apparaissent pas nécessaires au vu des considérants qui suivent, dans lesquels il sera revenu dans la mesure utile sur les motifs présidant au rejet de ces réquisitions. Au demeurant, la recourante n'expose pas quels nouveaux éléments le témoignage pourrait apporter par rapport aux pièces déjà produites.</w:t>
      </w:r>
    </w:p>
    <w:p>
      <w:r>
        <w:rPr>
          <w:b/>
        </w:rPr>
        <w:t>E. 3</w:t>
      </w:r>
    </w:p>
    <w:p>
      <w:r>
        <w:t>Le 1 er janvier 2019, la loi fédérale du 16 décembre 2005 sur les étrangers (LEtr; RS 142.20) a connu une modification partielle, comprenant le changement de sa dénomination et de certaines de ses dispositions (modification de la LEtr du 16 décembre 2016, RO 2018 3171). Ainsi, la LEtr s'intitule désormais la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(CDAP PE.2018.0173 du 25 janvier 2019 consid. 3 et PE.2018.0143 du 10 avril 2019 consid. 2).</w:t>
      </w:r>
    </w:p>
    <w:p>
      <w:r>
        <w:rPr>
          <w:b/>
        </w:rPr>
        <w:t>E. 4</w:t>
      </w:r>
    </w:p>
    <w:p>
      <w:r>
        <w:t>a) 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LEI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 b)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philippine, la recourante ne peut invoquer aucun traité en sa faveur; le recours s'examine ainsi uniquement au regard du droit interne, soit la LEI et ses ordonnances d’application. Les articles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La recourante ne réalise aucune de ces conditions, ce qu’elle ne conteste pas. c) La recourante requiert la délivrance d'une autorisation de séjour fondée sur l'art. 30 al. 1 let. b LEI et reproche à l'autorité intimée d'avoir refusé de reconnaître l'existence d'un cas de rigueur. L'art. 30 al. 1 let. b LEI, qui n'est pas différent de l'art. 30 al. 1 let. b LEtr, prévoit la possibilité de déroger aux conditions d’admission (art. 18 à 29) afin notamment de tenir compte des cas individuels d'une extrême gravité ou d'intérêts publics majeurs. L'art. 31 al. 1 de l'ordonnance fédérale du 24 octobre 2007 relative à l'admission, au séjour et à l'exercice d'une activité lucrative (OASA; RS 142.201), qui a été modifiée le 15 août 2018 (RO 2018 3173), comprend une liste exemplative des critères à prendre en considération pour la reconnaissance des cas individuels d'une extrême gravité. Dans sa teneur jusqu'au 31 décembre 2018, cette disposition précise qu'il convient, lors de l'appréciation,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 128 II 200 consid. 4; 124 II 110 et les arrêts cités).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 er juillet 2016 consid. 7.2).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Dès lors, il appartient à l'autorité compétente d'examiner si l'intéressée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d) La recourante estime remplir toutes les conditions présentées à l'art. 31 OASA. Elle fait valoir une parfaite intégration en Suisse. Elle y a trouvé des emplois, qui lui ont permis d'acquérir son indépendance financière. Elle explique bénéficier également, d'une vie sociale et affective, en particulier grâce à son concubin. Elle a d'ailleurs toujours respecté l'ordre juridique suisse, n'ayant jamais fait l'objet d'une condamnation pénale ou de poursuite. Elle fait valoir qu'elle vit depuis plus de 12 ans en Suisse et qu'elle a quitté son pays d'origine depuis 25 ans et considère qu'elle rencontrerait de graves problèmes de réintégration dans un pays qui a beaucoup évolué et qui connaît une société devenue plus violente. Pour elle, son activité en Suisse a été indispensable pour de nombreuses familles, qui avaient besoin de solutions de garde et d'employée de maison. La recourante évoque encore la garantie au droit à la vie privée et à la vie familiale s'agissant de son couple, depuis plus de 5 ans, avec C.________. Il importe d’apprécier l'ensemble des circonstances du cas d'espèce. e) La recourante, âgée de 58 ans, fait valoir qu'elle est arrivée en Suisse en juin 2006, afin d'y trouver du travail, et qu'elle y a depuis lors vécu sans interruption. La date précise de son arrivée n'est pas documentée. Cela étant, les pièces qu'elle a produites dans le cadre de ses échanges avec l'autorité intimée constituent un faisceau d'indices qui permet de considérer qu'elle réside bien depuis 2008 au moins dans notre pays en y disposant notamment d’un compte postal. Les pièces produites démontrent également qu’elle est titulaire de titre de transport et de cartes de commerces utilisées au fil des ans. Elle est affiliée à l'assurance-maladie obligatoire, ainsi qu’à l’AVS. L’ensemble de cette documentation permet de conclure qu'elle réside de façon continue en Suisse depuis près de onze ans au moins, ce qui n'est pas négligeable. Cela étant précisé, la durée du séjour considéré ne saurait jouer à elle seule un rôle décisif dans l'appréciation du cas, puisqu'il s'agit d'un séjour illégal. La recourante ne s'est pas annoncée aux autorités et ce n'est qu'après onze ans qu'elle a entrepris de régulariser son séjour en Suisse. C'est dès lors de manière délibérée qu'elle s'est maintenue dans l'illégalité durant ces années. Pour cette raison déjà, la durée de son séjour doit être largement relativisée, ce d'autant que les séjours illégaux en Suisse ne sont en principe pas pris en compte dans l'examen d'un cas de rigueur, ou alors de manière extrêmement restreinte. f) Au niveau professionnel, la recourante affirme qu'elle a travaillé de 2006 à ce jour, sans interruption, comme de garde d'enfants et d'employée de maison. Elle n'a pas de poursuites, n'a jamais bénéficié de l'aide des services sociaux et exerce à temps partiel pour plusieurs personnes. Cette activité répond, à n'en pas douter, à un besoin; en effet, les parents concernés n'ont ainsi pas à recourir aux services d'une crèche ou de toute autre structure officielle. Il apparaît, par ailleurs, que dans le cadre de cette activité, la recourante a tissé des liens et étendu ses relations sociales. Elle semble donc plutôt bien intégrée de ce point de vue. Ce nonobstant, la jurisprudence va plus loin et exige que le requérant fasse preuve d'une réussite professionnelle remarquable. Or, on ne peut pas considérer que la recourante aurait acquis des connaissances ou des qualifications spécifiques telles qu'elle ne pourrait plus les mettre en pratique dans son pays d'origine et qu'il faille considérer qu'elle a fait preuve d'une évolution professionnelle remarquable en Suisse justifiant, à elle seule, l'admission d'un cas de rigueur (v. ATAF C-274/2006 du 12 juin 2007 consid. 5.3). De plus, la capacité de travail de la recourante devrait être de 100% compte tenu de son âge et sa situation personnelle (célibataire et sans enfant à charge). Son intégration professionnelle n'est ainsi pas complète ni remarquable. g) Sur le plan social, on peut admettre, au regard des lettres de soutien et photographies que la recourante a jointes à la procédure, qu'elle a développé un certain réseau d'amis en Suisse. Elle participe de plus à la vie de son église et allègue qu'elle maîtrise le français, ce qui paraît crédible vu notamment les attestations produites. Sur ce point, on relèvera toutefois que la recourante a suivi des cours de français pour débutants de mars à juin 2017 (voir attestation "français en jeu" du 27 juillet 2017); on doit inférer du niveau suivi alors que son niveau en français paraissait encore peu développé si l'on considère qu'elle se trouve en Suisse depuis juin 2006. Certes, la recourante a poursuivi des cours auprès de "Franc-parler" et a atteint un niveau "Avancé 2" (attestation du 2 juillet 2018). Quoi qu’il en soit, il ne faut pas perdre de vue qu'il est parfaitement normal qu'une personne effectuant un séjour prolongé dans un pays tiers s'y crée des attaches, se familiarise avec le mode de vie local et parle au moins l'une des langues nationales. Aussi, les relations de travail, d'amitié ou de voisinage que la requérante peut nouer pendant son séjour, si elles sont certes prises en considération, ne sauraient pour autant constituer des éléments déterminants pour la reconnaissance d'une situation d'extrême gravité (ATF 130 II 39 consid. 3; TF 2A.45/2007 du 17 avril 2007 consid. 4). h) La recourante a toujours fait preuve d'un comportement irréprochable en Suisse et ne fait l'objet d'aucune condamnation pénale. Cependant, elle séjourne et travaille sans autorisation dans notre pays depuis de nombreuses années, en violation de la LEI. On ne saurait faire abstraction de cet élément, même s'il ne faut pas non plus exagérer l'importance des infractions aux prescriptions de police des étrangers inhérentes à la condition de travailleur clandestin (ATF 130 II 39 consid. 5.2). i) La recourante est née aux Philippine et y a vécu jusqu'à ses 34 ans. Sa mère et son fils y habitent d'ailleurs toujours. Elle n'a aucune famille en Suisse et si elle a un ami en Suisse avec qui elle vit, selon ses déclarations, depuis plus de cinq ans, elle n'est pourtant pas mariée. Il ne ressort pas non plus du dossier qu'elle aurait tissé ici des liens personnels et sociaux étroits avec la Suisse à un point tel qu'ils imposeraient de considérer son retour aux Philippines comme une mesure excessivement rigoureuse. La recourant a, certes, su, au fil des années, nouer des relations amicales avec des personnes résidant en Suisse, comme l'atteste notamment le témoignage écrit recueilli. Mais le fait qu'elle soit une personne appréciée ne permet pas encore de considérer qu'elle fait preuve d'une intégration sociale particulièrement poussée. Quant à la possibilité de réintégration dans son pays d'origine, le tribunal constate que, si elle est aujourd’hui âgée de 58 ans, la recourante est en bonne santé; à tout le moins, le contraire n’est pas allégué. Il est vrai qu’elle a quitté les Philippines il y a vingt-cinq ans selon ce qu’elle a déclaré. Elle a cependant passé son enfance, son adolescence et la première partie de sa vie d'adulte dans son pays d’origine, où elle a nécessairement conservé des attaches et des liens culturels. La recourante n’a aucune charge; elle est célibataire et son fils au pays a achevé sa formation. Elle parviendra donc probablement à créer ou recréer des liens à son retour aux Philippines. Tout bien considéré, la recourante devrait pouvoir se réintégrer dans son pays d'origine sans difficultés particulières, et ce même si la situation économique notamment y est moins florissante qu'en Suisse. j) La recourante fait encore valoir qu'elle vit avec un citoyen suisse depuis près de cinq ans. Les directives et commentaires édictés par le SEM dans le domaine des étrangers, dans leur version du 1 er juin 2019 (Directives LEI), précisent les conditions dans lesquelles une dérogation aux conditions d'admission (art. 18 à 29 LEI) peut être accordée dans le cas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LEI) ; - le couple concubin vit ensemble en Suisse." Selon la jurisprudence, un étranger peut en outre,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(Tribunal fédéral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(TF 2C_435/2014 précité consid. 4.1 et les réf. cit.). De manière générale, la Cour européenne des droits de l'homme n'a accordé une protection conventionnelle à des couples de concubins qu'en lien avec des relations bien établies dans la durée. De plus, ces affaires comptaient toutes pour élément central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(ATF 144 I 266 consid. 2.5; TF 2C_1035/2012 du 21 décembre 2012 consid. 5.1; 2C_97/2010 du 4 novembre 2010 consid. 3.1 et 3.2).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cf. aussi TF 2C_832/2016 du 12 juin 2017 consid. 6.1 – 6.3). Le Tribunal fédéral a en revanche retenu, s'agissant d'une relation ayant duré plus de deux ans, en présence d'un enfant commun et d'un projet de mariage qui s'est concrétisé, l'existence d'une famille " naturelle " bénéficiant de la protection de l'art. 8 CEDH (TF 2C_661/2010 du 31 janvier 2011 consid. 3). En la présente espèce, la recourante se prévaut du respect de sa vie familiale. Elle fait valoir qu’elle vit aux côtés de son compagnon, à tout le moins depuis 2012, ce dernier étant de nationalité suisse. Elle a du reste emménagé avec lui, à ********, où ils vivent ensemble. La recourante fait à cet égard état de son attachement à son compagnon, aux côtés duquel elle envisage de poursuivre son séjour en Suisse. Toutefois, force est de constater que l'intensité des liens qui uniraient les concubins depuis près de cinq ans n'est pas forcément établie. La recourante fournit certes une pièce dont il ressort qu'en 2012, les intéressés se connaissaient, alors même qu'elle indique avoir commencé à travailler pour lui en 2013 et qu'il est devenu alors son concubin. Les pièces produites ne prouvent toutefois pas à partir de quand une relation de concubinage a effectivement été vécue et quand le couple a emménagé ensemble. On ignore en définitive depuis quand exactement leur relation amoureuse existe et en particulier depuis quand ils vivent en concubinage, alors même qu'on pouvait tout de même s'attendre à des données plus précises concernant certains événements marquants dans la vie d'un couple. Quoi qu'il en soit, et même en retenant les déclarations de l'intéressée et l'existence d'une relation d'une certaine durée, son intensité n'est pas en l'espèce confirmée. En outre, la recourante et son compagnon actuel n'ont pas d'enfant commun. Ils n'élèvent et n’ont pas élevé non plus ensemble l'enfant de l'un ou de l'autre. A cela s'ajoute que la recourante et son partenaire ne semblent pas envisager la possibilité du mariage. Il ne l'ont en tout cas pas allégué ou évoqué. Ils n'ont à aucun moment exposé, ni démontré avoir entrepris de quelconques sérieuses démarches dans ce sens. On relève encore que les intéressés n'ont pas conclu de contrat de concubinage. En l'absence de projet sérieux de mariage, la seule durée de leur vie commune ne suffirait pas à admettre que leur relation aurait atteint le degré de stabilité et d'intensité requis pour pouvoir être assimilée à une union conjugale (cf. arrêt 2C_97/2010 du 4 novembre 2010 consid. 3.3). Le fait que C.________ ait envoyé de l'argent en 2013 à la famille de la recourante n'y change rien. En outre, la recourante ne fait à aucun moment valoir que les intéressés ne pourraient pas se marier. A défaut de mariage sérieusement envisagé ou de circonstances particulières prouvant la stabilité et l'intensité de la relation, la recourante ne saurait donc invoquer la protection de l'art. 8 CEDH. On relèvera que la recourante fait encore valoir que son entretien sera assuré par son compagnon, qui a signé une attestation de prise en charge financière en sa faveur. Une telle promesse ne suffit toutefois pas en soi, dans la mesure où sa mise à exécution reste incertaine en pratique (cf. dans ce sens CDAP PE.2016.0012 du 2 novembre 2016 consid. 3e, qui porte sur la question de l'octroi d'un permis de séjour en faveur d'une rentière). En définitive, au regard de l'ensemble des circonstances, il apparaît que l'autorité intimée n'a pas abusé de son pouvoir d'appréciation en considérant que la situation de la recourante ne constituait pas un cas personnel d'extrême gravité, qui - on le rappelle - ne doit être admis que de manière restrictive.</w:t>
      </w:r>
    </w:p>
    <w:p>
      <w:r>
        <w:rPr>
          <w:b/>
        </w:rPr>
        <w:t>E. 5</w:t>
      </w:r>
    </w:p>
    <w:p>
      <w:r>
        <w:t>La recourante évoque encore sans doute la décision récente des autorités du canton de Genève de procéder à la régularisation de ressortissants étrangers (opération Papyrus) dans une situation comparable à la sienne, sans formellement se plaindre d’une inégalité de traitement. On rappelle à cet égard que ce dernier principe ne s’applique qu’au sein d’une même collectivité, dans la mesure où celle-ci agit effectivement dans le domaine de ses compétences législatives ou administratives (ATF 142 II 87 consid. 6.3.1 p. 101; cf. Jacques Dubey/Jean-Baptiste Zufferey, Droit administratif général, Bâle 2014, n°661, p. 231). Or, les autorités cantonales sont chargées, dans leur domaine de compétence, d’exécuter la législation en la matière (cf. art. 88 al. 1 OASA). Le domaine de compétence des autorités du canton de Genève s’étend aux étrangers résidant sur le territoire de ce canton (cf. art. 12 al. 1 LEI). La recourante, qui réside dans le canton de Vaud, ne peut par conséquent pas se plaindre d’une inégalité de traitement du fait que les autorités de ce canton n’ont pas entrepris, dans l’application de la LEI, une démarche similaire à celles des autorités genevoises. A cela s’ajoute que le caractère de la décision prise par celles-ci est éminemment politique et qu’il est douteux que la recourante puisse en retirer en l’état un droit (dans le même sens, arrêt PE.2017.0150 du 3 août 2017 consid. 4).</w:t>
      </w:r>
    </w:p>
    <w:p>
      <w:r>
        <w:rPr>
          <w:b/>
        </w:rPr>
        <w:t>E. 6</w:t>
      </w:r>
    </w:p>
    <w:p>
      <w:r>
        <w:t>Il suit de ce qui précède que le recours doit être rejeté et la décision attaquée, confirmée. La recourante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