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PE.2018.0502 vom 21. Januar 2020</w:t>
      </w:r>
    </w:p>
    <w:p>
      <w:r>
        <w:t>VD Tribunal cantonal, 2020-01-21, FR</w:t>
      </w:r>
    </w:p>
    <w:p>
      <w:r>
        <w:rPr>
          <w:b/>
        </w:rPr>
        <w:t xml:space="preserve">Quelle: </w:t>
      </w:r>
      <w:r>
        <w:t>https://mcp.opencaselaw.ch/entscheid/vd_omni_PE.2018.0502</w:t>
      </w:r>
    </w:p>
    <w:p>
      <w:r>
        <w:t>FR: VD_OMNI PE.2018.0502 du 21 janvier 2020</w:t>
      </w:r>
    </w:p>
    <w:p>
      <w:r>
        <w:t>IT: VD_OMNI PE.2018.0502 del 21 gennaio 2020</w:t>
      </w:r>
    </w:p>
    <w:p>
      <w:pPr>
        <w:pStyle w:val="Heading2"/>
      </w:pPr>
      <w:r>
        <w:t>Regeste</w:t>
      </w:r>
    </w:p>
    <w:p>
      <w:r>
        <w:t>A.________/Service de la population (SPOP) | Confirmation de la décision du SPOP, refusant l'octroi d'une autorisation de séjour au recourant sous l'angle du droit de demeurer mais se déclarant favorable à la poursuite de son séjour en Suisse sous l'angle de l'art. 20 OLCP. Recevabilité du recours lorsque tant l'autorisation de séjour octroyée par la décision attaquée que l'autorisation de séjour convoitée sont soumises pour approbation au SEM. Question laissée indécise. Rappel de la jurisprudence relative au droit de demeurer. Le recourant n'a pas cessé d'occuper un emploi salarié à la suite d'une incapacité permanente de travail, dans la mesure où l'incapacité permanente du recourant à travailler est antérieure à son entrée en Suisse, le droit à une rente AI ayant été pour ce motif exclu. Recours rejeté.</w:t>
      </w:r>
    </w:p>
    <w:p>
      <w:pPr>
        <w:pStyle w:val="Heading2"/>
      </w:pPr>
      <w:r>
        <w:t>Erwägungen</w:t>
      </w:r>
    </w:p>
    <w:p>
      <w:r>
        <w:rPr>
          <w:b/>
        </w:rPr>
        <w:t>E. 1</w:t>
      </w:r>
    </w:p>
    <w:p>
      <w:r>
        <w:t>Il convient d'abord d'examiner si le recourant a un intérêt digne de protection à la modification de la décision attaquée. a) Aux termes de l'art. 75 let. a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131 II 361 consid. 1.2 et les arrêts cités).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p. 365; 128 II 34 consid. 1b). b) En l'espèce, le litige a pour objet la demande du recourant de prolongation de son autorisation de séjour. Or, l'autorité intimée s'est déclarée favorable à l'octroi d'une autorisation de séjour fondée sur l'art. 20 OLCP. Toutefois, le recourant prétend à l'octroi d'une autorisation de séjour UE/AELE en vertu du droit de demeurer résultant de l'art. 4 par. 1 Annexe I ALCP, laquelle a été refusée par la décision attaquée. Il soutient qu'il n'a d'autre choix que de contester "cette partie" de la décision attaquée devant la cour de céans, à défaut de quoi elle deviendrait définitive. Selon l'ordonnance du Département fédéral de justice et police du 13 août 2015 relative aux autorisations soumises à la procédure d'approbation et aux décisions préalables dans le domaine du droit des étrangers (RS 142.201.1), tant la prolongation d'une autorisation de séjour fondée sur le droit de demeurer (art. 4 let. e de ladite ordonnance) que celle d'une autorisation de séjour en application de l'art. 20 OLCP (art. 5 let. d de ladite ordonnance) sont soumises à la procédure d'approbation par le SEM (cf. Directives et commentaires du SEM concernant l'introduction progressive de la libre circulation des personnes [Directives OLCP], ch. 8.5). Dans une affaire récente (PE.2018.0491 du 15 mars 2019) présentant une configuration similaire, la CDAP a déclaré irrecevable le recours dirigé contre une décision du SPOP délivrant à l'intéressé une autorisation de séjour en application de l'art. 50 al. 1 let. b LEI sous réserve de l'approbation du SEM alors que ce dernier revendiquait l'octroi d'une autorisation de séjour en application de l'art. 8 CEDH. En substance, la CDAP a considéré que, dès lors que l'approbation du SEM était requise pour l'un ou l'autre fondement de l'autorisation de séjour, le Tribunal administratif fédéral pouvait admettre le recours contre un éventuel refus du SEM d'approuver l'octroi d'une autorisation de séjour sur la base d'un autre fondement que celui proposé par l'autorité cantonale puisqu'il n'était lié ni par les motifs invoqués par les parties, ni par les considérants juridiques de la décision attaquée (p. ex. TAF F-1186/2018 du 10 janvier 2019 consid. 1.5). Le recourant ne serait donc pas pénalisé par une éventuelle différence de fondement juridique de l'autorisation de séjour que l'autorité cantonale propose d'octroyer sous réserve d'approbation du SEM. Cela étant, il ressort de la jurisprudence récente du TAF (TAF F-5697/2017 du 11 novembre 2019, consid. 3.2; F-2201/2017 du 9 octobre 2018, consid. 4; F-1651/2017 du 30 mai 2018, consid. 7.2; F-1316/2016 du 5 mars 2018, consid. 4.1 et réf. citées) que cette instance considère que, dans le cadre de la procédure d'approbation, les autorités fédérales ne peuvent en principe se prononcer sur l'octroi d'une autorisation de séjour en vertu d'une autre disposition que celle dont l'autorité cantonale a fait application. Dans le cadre du recours dirigé contre un refus d'approbation du SEM, le TAF limite dès lors son examen au fondement de l'autorisation de séjour résultant de la décision cantonale et n'examine pas si une autorisation de séjour peut être octroyée à raison d'un autre fondement. Si la personne étrangère souhaite invoquer une autre disposition que celle retenue par la décision cantonale, il lui appartiendrait de contester celle-ci devant la juridiction cantonale (arrêt F-2201/2017 du 9 octobre 2018 précité, consid. 4.2). Dans l'arrêt le plus récent (F-5697/2017 précité, consid. 3.4), le TAF a toutefois examiné "à titre exceptionnel" l'application des dispositions pertinentes de l'ALCP – respectivement de la CEDH – dans les limites de l'objet du recours et n'a pas limité son examen au fondement de l'autorisation délivrée par l'autorité cantonale sous réserve de l'approbation du SEM. A l'aune de cette jurisprudence, on peut donc se demander si, lorsque le SPOP décide de soumettre pour approbation au SEM l'octroi d'une autorisation de séjour pour un autre motif que celui invoqué par l'étranger, ce dernier n'a pas un intérêt digne de protection à en contester le fondement juridique. Toutefois, la question de la recevabilité du recours peut rester indécise, celui-ci devant de toute manière être rejeté pour les motifs qui suivent.</w:t>
      </w:r>
    </w:p>
    <w:p>
      <w:r>
        <w:rPr>
          <w:b/>
        </w:rPr>
        <w:t>E. 2</w:t>
      </w:r>
    </w:p>
    <w:p>
      <w:r>
        <w:t>Le recourant requiert la production de son dossier en main de l'OAI.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CDAP PE.2018.0208 du 29 mai 2019 consid. 3a). b) En l'espèce, le dossier contient les pièces essentielles en relation avec la demande de prestations déposée par le recourant auprès de l'assurance-invalidité, soit la demande elle-même et la décision de l'OAI, qui font partie du dossier de l'autorité intimée, et la déclaration de l'employeur et le rapport médical du Dr D.________ du 20 octobre 2014, produits par le recourant dans le cadre de la présente procédure. Comme on le verra ci-dessous (cf. infra consid. 3d), ces pièces sont suffisantes pour permettre au tribunal de se forger une opinion sur les questions déterminantes en l'espèce, soit l'existence d'une incapacité permanente du travail et la date à laquelle celle-ci a débuté. On ne voit pas quels éléments complémentaires pourraient amener la production des autres pièces du dossier en main de l'OAI. Le recourant ne le précise d'ailleurs pas sinon pour considérer que le dossier de l'OAI serait trop lacunaire pour que le tribunal puisse déterminer la date du début de l'incapacité de travail du recourant. La requête du recourant tendant à la production du dossier en main de l'OAI est donc rejetée.</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Pour le surplus, le recourant ne conteste pas l'octroi, sous réserve de l'approbation du SEM, d'une autorisation de séjour fondée sur des motifs importants fondée sur l'art. 20 OLCP.</w:t>
      </w:r>
    </w:p>
    <w:p>
      <w:r>
        <w:rPr>
          <w:b/>
        </w:rPr>
        <w:t>E. 6</w:t>
      </w:r>
    </w:p>
    <w:p>
      <w:r>
        <w:t>Les considérants qui précèdent conduisent au rejet du recours et à la confirmation de la décision attaquée. Le recourant ayant été mis au bénéfice de l'assistance judiciaire, les frais de la cause seront provisoirement laissés à la charge de l'Etat.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 le 15 janvier 2020, le conseil du recourant a indiqué avoir consacré à l’affaire 8 heures et 22 minutes. Le montant des honoraires est donc arrêté à 1506,60 francs. A cette somme s’ajoutent les débours forfaitaires, soit 75 fr. 35, ainsi que la TVA calculée sur ces montants, soit 121 fr. 80. Le montant total de l'indemnité d'office allouée s’élève ainsi à 1'703 fr. 75. L'indemnité de conseil d'office est supportée provisoirement par le canton, le recourant étant rendu attentif au fait qu'il est tenu de rembourser le montant ainsi avancé dès qu'il sera en mesure de le faire (art. 122 al. 1 let. a CPC et 123 al. 1 CPC, applicables par renvoi de l'art. 18 al. 5 LPA-VD). Il incombe au Service juridique et législatif de fixer les modalités de ce remboursement (art.39a CDPJ)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